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3BCD" w:rsidRPr="008730B8" w:rsidRDefault="006A3BCD" w:rsidP="001F7DAE">
      <w:pPr>
        <w:rPr>
          <w:rFonts w:cstheme="minorHAnsi"/>
          <w:szCs w:val="20"/>
        </w:rPr>
      </w:pPr>
      <w:bookmarkStart w:id="0" w:name="page1"/>
      <w:bookmarkEnd w:id="0"/>
    </w:p>
    <w:p w:rsidR="006A3BCD" w:rsidRPr="008730B8" w:rsidRDefault="006A3BCD" w:rsidP="001F7DAE">
      <w:pPr>
        <w:rPr>
          <w:rFonts w:cstheme="minorHAnsi"/>
          <w:szCs w:val="20"/>
        </w:rPr>
      </w:pPr>
    </w:p>
    <w:p w:rsidR="006A3BCD" w:rsidRPr="008730B8" w:rsidRDefault="006A3BCD" w:rsidP="001F7DAE">
      <w:pPr>
        <w:rPr>
          <w:rFonts w:cstheme="minorHAnsi"/>
          <w:szCs w:val="20"/>
        </w:rPr>
      </w:pPr>
    </w:p>
    <w:p w:rsidR="006A3BCD" w:rsidRPr="008730B8" w:rsidRDefault="006A3BCD" w:rsidP="001F7DAE">
      <w:pPr>
        <w:rPr>
          <w:rFonts w:cstheme="minorHAnsi"/>
          <w:szCs w:val="20"/>
        </w:rPr>
      </w:pPr>
    </w:p>
    <w:p w:rsidR="006A3BCD" w:rsidRPr="008730B8" w:rsidRDefault="006A3BCD" w:rsidP="001F7DAE">
      <w:pPr>
        <w:rPr>
          <w:rFonts w:cstheme="minorHAnsi"/>
          <w:szCs w:val="20"/>
        </w:rPr>
      </w:pPr>
    </w:p>
    <w:p w:rsidR="006A3BCD" w:rsidRPr="008730B8" w:rsidRDefault="006A3BCD" w:rsidP="001F7DAE">
      <w:pPr>
        <w:rPr>
          <w:rFonts w:cstheme="minorHAnsi"/>
          <w:szCs w:val="20"/>
        </w:rPr>
      </w:pPr>
    </w:p>
    <w:p w:rsidR="006A3BCD" w:rsidRPr="008730B8" w:rsidRDefault="006A3BCD" w:rsidP="001F7DAE">
      <w:pPr>
        <w:rPr>
          <w:rFonts w:cstheme="minorHAnsi"/>
          <w:szCs w:val="20"/>
        </w:rPr>
      </w:pPr>
    </w:p>
    <w:p w:rsidR="006A3BCD" w:rsidRPr="008730B8" w:rsidRDefault="006A3BCD" w:rsidP="001F7DAE">
      <w:pPr>
        <w:rPr>
          <w:rFonts w:cstheme="minorHAnsi"/>
          <w:szCs w:val="20"/>
        </w:rPr>
      </w:pPr>
    </w:p>
    <w:p w:rsidR="006A3BCD" w:rsidRPr="008730B8" w:rsidRDefault="006A3BCD" w:rsidP="001F7DAE">
      <w:pPr>
        <w:rPr>
          <w:rFonts w:cstheme="minorHAnsi"/>
          <w:szCs w:val="20"/>
        </w:rPr>
      </w:pPr>
    </w:p>
    <w:p w:rsidR="006A3BCD" w:rsidRPr="008730B8" w:rsidRDefault="006A3BCD" w:rsidP="001F7DAE">
      <w:pPr>
        <w:rPr>
          <w:rFonts w:cstheme="minorHAnsi"/>
          <w:szCs w:val="20"/>
        </w:rPr>
      </w:pPr>
    </w:p>
    <w:p w:rsidR="006A3BCD" w:rsidRPr="008730B8" w:rsidRDefault="006A3BCD" w:rsidP="001F7DAE">
      <w:pPr>
        <w:rPr>
          <w:rFonts w:cstheme="minorHAnsi"/>
          <w:szCs w:val="20"/>
        </w:rPr>
      </w:pPr>
      <w:bookmarkStart w:id="1" w:name="_GoBack"/>
      <w:bookmarkEnd w:id="1"/>
    </w:p>
    <w:p w:rsidR="006A3BCD" w:rsidRPr="008730B8" w:rsidRDefault="006A3BCD" w:rsidP="001F7DAE">
      <w:pPr>
        <w:rPr>
          <w:rFonts w:cstheme="minorHAnsi"/>
          <w:szCs w:val="20"/>
        </w:rPr>
      </w:pPr>
    </w:p>
    <w:p w:rsidR="006A3BCD" w:rsidRPr="008730B8" w:rsidRDefault="006A3BCD" w:rsidP="001F7DAE">
      <w:pPr>
        <w:rPr>
          <w:rFonts w:cstheme="minorHAnsi"/>
          <w:szCs w:val="20"/>
        </w:rPr>
      </w:pPr>
    </w:p>
    <w:p w:rsidR="006A3BCD" w:rsidRPr="00240962" w:rsidRDefault="003F25AD" w:rsidP="001F7DAE">
      <w:pPr>
        <w:ind w:right="300"/>
        <w:jc w:val="center"/>
        <w:rPr>
          <w:rFonts w:cstheme="minorHAnsi"/>
          <w:b/>
          <w:sz w:val="44"/>
          <w:szCs w:val="44"/>
        </w:rPr>
      </w:pPr>
      <w:r w:rsidRPr="00240962">
        <w:rPr>
          <w:rFonts w:eastAsia="Arial" w:cstheme="minorHAnsi"/>
          <w:b/>
          <w:sz w:val="44"/>
          <w:szCs w:val="44"/>
        </w:rPr>
        <w:t>ST-E 00</w:t>
      </w:r>
      <w:r w:rsidR="00A915D3">
        <w:rPr>
          <w:rFonts w:eastAsia="Arial" w:cstheme="minorHAnsi"/>
          <w:b/>
          <w:sz w:val="44"/>
          <w:szCs w:val="44"/>
        </w:rPr>
        <w:t>1</w:t>
      </w:r>
    </w:p>
    <w:p w:rsidR="006A3BCD" w:rsidRPr="008730B8" w:rsidRDefault="006A3BCD" w:rsidP="001F7DAE">
      <w:pPr>
        <w:rPr>
          <w:rFonts w:cstheme="minorHAnsi"/>
          <w:szCs w:val="20"/>
        </w:rPr>
      </w:pPr>
    </w:p>
    <w:p w:rsidR="006A3BCD" w:rsidRPr="00240962" w:rsidRDefault="00A915D3" w:rsidP="001F7DAE">
      <w:pPr>
        <w:ind w:right="300"/>
        <w:jc w:val="center"/>
        <w:rPr>
          <w:rFonts w:cstheme="minorHAnsi"/>
          <w:sz w:val="28"/>
          <w:szCs w:val="28"/>
        </w:rPr>
      </w:pPr>
      <w:r>
        <w:rPr>
          <w:rFonts w:eastAsia="Arial" w:cstheme="minorHAnsi"/>
          <w:b/>
          <w:bCs/>
          <w:sz w:val="28"/>
          <w:szCs w:val="28"/>
        </w:rPr>
        <w:t>MONTAŻ ROZDZIELNIC ELEKTRYCZNYCH</w:t>
      </w:r>
    </w:p>
    <w:p w:rsidR="006A3BCD" w:rsidRPr="008730B8" w:rsidRDefault="006A3BCD" w:rsidP="001F7DAE">
      <w:pPr>
        <w:rPr>
          <w:rFonts w:cstheme="minorHAnsi"/>
          <w:szCs w:val="20"/>
        </w:rPr>
      </w:pPr>
    </w:p>
    <w:p w:rsidR="00A915D3" w:rsidRPr="007C2DE4" w:rsidRDefault="00A915D3" w:rsidP="001F7DAE">
      <w:pPr>
        <w:jc w:val="center"/>
        <w:rPr>
          <w:rFonts w:eastAsia="Arial" w:cstheme="minorHAnsi"/>
          <w:sz w:val="24"/>
          <w:szCs w:val="24"/>
        </w:rPr>
      </w:pPr>
      <w:r w:rsidRPr="007C2DE4">
        <w:rPr>
          <w:rFonts w:eastAsia="Arial" w:cstheme="minorHAnsi"/>
          <w:sz w:val="24"/>
          <w:szCs w:val="24"/>
        </w:rPr>
        <w:t>Kod CPV 45315700-5</w:t>
      </w:r>
    </w:p>
    <w:p w:rsidR="00240962" w:rsidRDefault="00240962" w:rsidP="001F7DAE">
      <w:pPr>
        <w:jc w:val="center"/>
        <w:rPr>
          <w:rFonts w:cstheme="minorHAnsi"/>
          <w:szCs w:val="20"/>
        </w:rPr>
      </w:pPr>
      <w:r>
        <w:rPr>
          <w:rFonts w:cstheme="minorHAnsi"/>
          <w:szCs w:val="20"/>
        </w:rPr>
        <w:br w:type="page"/>
      </w:r>
    </w:p>
    <w:p w:rsidR="006A3BCD" w:rsidRPr="00240962" w:rsidRDefault="003F25AD" w:rsidP="001F7DAE">
      <w:pPr>
        <w:ind w:left="4140"/>
        <w:rPr>
          <w:rFonts w:eastAsia="Arial" w:cstheme="minorHAnsi"/>
          <w:b/>
          <w:sz w:val="22"/>
        </w:rPr>
      </w:pPr>
      <w:bookmarkStart w:id="2" w:name="page2"/>
      <w:bookmarkEnd w:id="2"/>
      <w:r w:rsidRPr="00240962">
        <w:rPr>
          <w:rFonts w:eastAsia="Arial" w:cstheme="minorHAnsi"/>
          <w:b/>
          <w:sz w:val="22"/>
        </w:rPr>
        <w:lastRenderedPageBreak/>
        <w:t>SPIS TREŚCI</w:t>
      </w:r>
    </w:p>
    <w:p w:rsidR="006202D5" w:rsidRDefault="00432BA9">
      <w:pPr>
        <w:pStyle w:val="Spistreci1"/>
        <w:rPr>
          <w:rFonts w:eastAsiaTheme="minorEastAsia" w:cstheme="minorBidi"/>
          <w:b w:val="0"/>
          <w:bCs w:val="0"/>
          <w:caps w:val="0"/>
          <w:noProof/>
          <w:sz w:val="22"/>
          <w:szCs w:val="22"/>
        </w:rPr>
      </w:pPr>
      <w:r w:rsidRPr="00432BA9">
        <w:rPr>
          <w:rFonts w:ascii="Calibri" w:hAnsi="Calibri"/>
          <w:sz w:val="22"/>
          <w:szCs w:val="22"/>
        </w:rPr>
        <w:fldChar w:fldCharType="begin"/>
      </w:r>
      <w:r w:rsidR="003F25AD" w:rsidRPr="00240E64">
        <w:rPr>
          <w:rFonts w:ascii="Calibri" w:hAnsi="Calibri"/>
          <w:sz w:val="22"/>
          <w:szCs w:val="22"/>
        </w:rPr>
        <w:instrText xml:space="preserve"> TOC \o "1-2" \h \z \u </w:instrText>
      </w:r>
      <w:r w:rsidRPr="00432BA9">
        <w:rPr>
          <w:rFonts w:ascii="Calibri" w:hAnsi="Calibri"/>
          <w:sz w:val="22"/>
          <w:szCs w:val="22"/>
        </w:rPr>
        <w:fldChar w:fldCharType="separate"/>
      </w:r>
      <w:hyperlink w:anchor="_Toc498462988" w:history="1">
        <w:r w:rsidR="006202D5" w:rsidRPr="00916040">
          <w:rPr>
            <w:rStyle w:val="Hipercze"/>
            <w:noProof/>
          </w:rPr>
          <w:t>1.</w:t>
        </w:r>
        <w:r w:rsidR="006202D5">
          <w:rPr>
            <w:rFonts w:eastAsiaTheme="minorEastAsia" w:cstheme="minorBidi"/>
            <w:b w:val="0"/>
            <w:bCs w:val="0"/>
            <w:caps w:val="0"/>
            <w:noProof/>
            <w:sz w:val="22"/>
            <w:szCs w:val="22"/>
          </w:rPr>
          <w:tab/>
        </w:r>
        <w:r w:rsidR="006202D5" w:rsidRPr="00916040">
          <w:rPr>
            <w:rStyle w:val="Hipercze"/>
            <w:noProof/>
          </w:rPr>
          <w:t>CZĘŚĆ OGÓLNA</w:t>
        </w:r>
        <w:r w:rsidR="006202D5">
          <w:rPr>
            <w:noProof/>
            <w:webHidden/>
          </w:rPr>
          <w:tab/>
        </w:r>
        <w:r>
          <w:rPr>
            <w:noProof/>
            <w:webHidden/>
          </w:rPr>
          <w:fldChar w:fldCharType="begin"/>
        </w:r>
        <w:r w:rsidR="006202D5">
          <w:rPr>
            <w:noProof/>
            <w:webHidden/>
          </w:rPr>
          <w:instrText xml:space="preserve"> PAGEREF _Toc498462988 \h </w:instrText>
        </w:r>
        <w:r>
          <w:rPr>
            <w:noProof/>
            <w:webHidden/>
          </w:rPr>
        </w:r>
        <w:r>
          <w:rPr>
            <w:noProof/>
            <w:webHidden/>
          </w:rPr>
          <w:fldChar w:fldCharType="separate"/>
        </w:r>
        <w:r w:rsidR="00505061">
          <w:rPr>
            <w:noProof/>
            <w:webHidden/>
          </w:rPr>
          <w:t>4</w:t>
        </w:r>
        <w:r>
          <w:rPr>
            <w:noProof/>
            <w:webHidden/>
          </w:rPr>
          <w:fldChar w:fldCharType="end"/>
        </w:r>
      </w:hyperlink>
    </w:p>
    <w:p w:rsidR="006202D5" w:rsidRDefault="00432BA9">
      <w:pPr>
        <w:pStyle w:val="Spistreci2"/>
        <w:rPr>
          <w:rFonts w:eastAsiaTheme="minorEastAsia" w:cstheme="minorBidi"/>
          <w:smallCaps w:val="0"/>
          <w:sz w:val="22"/>
          <w:szCs w:val="22"/>
        </w:rPr>
      </w:pPr>
      <w:hyperlink w:anchor="_Toc498462989" w:history="1">
        <w:r w:rsidR="006202D5" w:rsidRPr="00916040">
          <w:rPr>
            <w:rStyle w:val="Hipercze"/>
            <w:rFonts w:eastAsia="Arial"/>
          </w:rPr>
          <w:t>1.1. Nazwa nadana zamówieniu przez zamawiającego</w:t>
        </w:r>
        <w:r w:rsidR="006202D5">
          <w:rPr>
            <w:webHidden/>
          </w:rPr>
          <w:tab/>
        </w:r>
        <w:r>
          <w:rPr>
            <w:webHidden/>
          </w:rPr>
          <w:fldChar w:fldCharType="begin"/>
        </w:r>
        <w:r w:rsidR="006202D5">
          <w:rPr>
            <w:webHidden/>
          </w:rPr>
          <w:instrText xml:space="preserve"> PAGEREF _Toc498462989 \h </w:instrText>
        </w:r>
        <w:r>
          <w:rPr>
            <w:webHidden/>
          </w:rPr>
        </w:r>
        <w:r>
          <w:rPr>
            <w:webHidden/>
          </w:rPr>
          <w:fldChar w:fldCharType="separate"/>
        </w:r>
        <w:r w:rsidR="00505061">
          <w:rPr>
            <w:webHidden/>
          </w:rPr>
          <w:t>4</w:t>
        </w:r>
        <w:r>
          <w:rPr>
            <w:webHidden/>
          </w:rPr>
          <w:fldChar w:fldCharType="end"/>
        </w:r>
      </w:hyperlink>
    </w:p>
    <w:p w:rsidR="006202D5" w:rsidRDefault="00432BA9">
      <w:pPr>
        <w:pStyle w:val="Spistreci2"/>
        <w:rPr>
          <w:rFonts w:eastAsiaTheme="minorEastAsia" w:cstheme="minorBidi"/>
          <w:smallCaps w:val="0"/>
          <w:sz w:val="22"/>
          <w:szCs w:val="22"/>
        </w:rPr>
      </w:pPr>
      <w:hyperlink w:anchor="_Toc498462990" w:history="1">
        <w:r w:rsidR="006202D5" w:rsidRPr="00916040">
          <w:rPr>
            <w:rStyle w:val="Hipercze"/>
            <w:rFonts w:eastAsia="Arial"/>
          </w:rPr>
          <w:t>1.2. Przedmiot SST-E 001</w:t>
        </w:r>
        <w:r w:rsidR="006202D5">
          <w:rPr>
            <w:webHidden/>
          </w:rPr>
          <w:tab/>
        </w:r>
        <w:r>
          <w:rPr>
            <w:webHidden/>
          </w:rPr>
          <w:fldChar w:fldCharType="begin"/>
        </w:r>
        <w:r w:rsidR="006202D5">
          <w:rPr>
            <w:webHidden/>
          </w:rPr>
          <w:instrText xml:space="preserve"> PAGEREF _Toc498462990 \h </w:instrText>
        </w:r>
        <w:r>
          <w:rPr>
            <w:webHidden/>
          </w:rPr>
        </w:r>
        <w:r>
          <w:rPr>
            <w:webHidden/>
          </w:rPr>
          <w:fldChar w:fldCharType="separate"/>
        </w:r>
        <w:r w:rsidR="00505061">
          <w:rPr>
            <w:webHidden/>
          </w:rPr>
          <w:t>4</w:t>
        </w:r>
        <w:r>
          <w:rPr>
            <w:webHidden/>
          </w:rPr>
          <w:fldChar w:fldCharType="end"/>
        </w:r>
      </w:hyperlink>
    </w:p>
    <w:p w:rsidR="006202D5" w:rsidRDefault="00432BA9">
      <w:pPr>
        <w:pStyle w:val="Spistreci2"/>
        <w:rPr>
          <w:rFonts w:eastAsiaTheme="minorEastAsia" w:cstheme="minorBidi"/>
          <w:smallCaps w:val="0"/>
          <w:sz w:val="22"/>
          <w:szCs w:val="22"/>
        </w:rPr>
      </w:pPr>
      <w:hyperlink w:anchor="_Toc498462991" w:history="1">
        <w:r w:rsidR="006202D5" w:rsidRPr="00916040">
          <w:rPr>
            <w:rStyle w:val="Hipercze"/>
            <w:rFonts w:eastAsia="Arial"/>
          </w:rPr>
          <w:t>1.3. Przedmiot i zakres robót objętych SST-E 001</w:t>
        </w:r>
        <w:r w:rsidR="006202D5">
          <w:rPr>
            <w:webHidden/>
          </w:rPr>
          <w:tab/>
        </w:r>
        <w:r>
          <w:rPr>
            <w:webHidden/>
          </w:rPr>
          <w:fldChar w:fldCharType="begin"/>
        </w:r>
        <w:r w:rsidR="006202D5">
          <w:rPr>
            <w:webHidden/>
          </w:rPr>
          <w:instrText xml:space="preserve"> PAGEREF _Toc498462991 \h </w:instrText>
        </w:r>
        <w:r>
          <w:rPr>
            <w:webHidden/>
          </w:rPr>
        </w:r>
        <w:r>
          <w:rPr>
            <w:webHidden/>
          </w:rPr>
          <w:fldChar w:fldCharType="separate"/>
        </w:r>
        <w:r w:rsidR="00505061">
          <w:rPr>
            <w:webHidden/>
          </w:rPr>
          <w:t>4</w:t>
        </w:r>
        <w:r>
          <w:rPr>
            <w:webHidden/>
          </w:rPr>
          <w:fldChar w:fldCharType="end"/>
        </w:r>
      </w:hyperlink>
    </w:p>
    <w:p w:rsidR="006202D5" w:rsidRDefault="00432BA9">
      <w:pPr>
        <w:pStyle w:val="Spistreci2"/>
        <w:rPr>
          <w:rFonts w:eastAsiaTheme="minorEastAsia" w:cstheme="minorBidi"/>
          <w:smallCaps w:val="0"/>
          <w:sz w:val="22"/>
          <w:szCs w:val="22"/>
        </w:rPr>
      </w:pPr>
      <w:hyperlink w:anchor="_Toc498462992" w:history="1">
        <w:r w:rsidR="006202D5" w:rsidRPr="00916040">
          <w:rPr>
            <w:rStyle w:val="Hipercze"/>
            <w:rFonts w:eastAsia="Arial"/>
          </w:rPr>
          <w:t>1.4. Określenia podstawowe, definicje</w:t>
        </w:r>
        <w:r w:rsidR="006202D5">
          <w:rPr>
            <w:webHidden/>
          </w:rPr>
          <w:tab/>
        </w:r>
        <w:r>
          <w:rPr>
            <w:webHidden/>
          </w:rPr>
          <w:fldChar w:fldCharType="begin"/>
        </w:r>
        <w:r w:rsidR="006202D5">
          <w:rPr>
            <w:webHidden/>
          </w:rPr>
          <w:instrText xml:space="preserve"> PAGEREF _Toc498462992 \h </w:instrText>
        </w:r>
        <w:r>
          <w:rPr>
            <w:webHidden/>
          </w:rPr>
        </w:r>
        <w:r>
          <w:rPr>
            <w:webHidden/>
          </w:rPr>
          <w:fldChar w:fldCharType="separate"/>
        </w:r>
        <w:r w:rsidR="00505061">
          <w:rPr>
            <w:webHidden/>
          </w:rPr>
          <w:t>4</w:t>
        </w:r>
        <w:r>
          <w:rPr>
            <w:webHidden/>
          </w:rPr>
          <w:fldChar w:fldCharType="end"/>
        </w:r>
      </w:hyperlink>
    </w:p>
    <w:p w:rsidR="006202D5" w:rsidRDefault="00432BA9">
      <w:pPr>
        <w:pStyle w:val="Spistreci2"/>
        <w:rPr>
          <w:rFonts w:eastAsiaTheme="minorEastAsia" w:cstheme="minorBidi"/>
          <w:smallCaps w:val="0"/>
          <w:sz w:val="22"/>
          <w:szCs w:val="22"/>
        </w:rPr>
      </w:pPr>
      <w:hyperlink w:anchor="_Toc498462993" w:history="1">
        <w:r w:rsidR="006202D5" w:rsidRPr="00916040">
          <w:rPr>
            <w:rStyle w:val="Hipercze"/>
            <w:rFonts w:eastAsia="Arial"/>
          </w:rPr>
          <w:t>1.5. Ogólne wymagania dotyczące robót</w:t>
        </w:r>
        <w:r w:rsidR="006202D5">
          <w:rPr>
            <w:webHidden/>
          </w:rPr>
          <w:tab/>
        </w:r>
        <w:r>
          <w:rPr>
            <w:webHidden/>
          </w:rPr>
          <w:fldChar w:fldCharType="begin"/>
        </w:r>
        <w:r w:rsidR="006202D5">
          <w:rPr>
            <w:webHidden/>
          </w:rPr>
          <w:instrText xml:space="preserve"> PAGEREF _Toc498462993 \h </w:instrText>
        </w:r>
        <w:r>
          <w:rPr>
            <w:webHidden/>
          </w:rPr>
        </w:r>
        <w:r>
          <w:rPr>
            <w:webHidden/>
          </w:rPr>
          <w:fldChar w:fldCharType="separate"/>
        </w:r>
        <w:r w:rsidR="00505061">
          <w:rPr>
            <w:webHidden/>
          </w:rPr>
          <w:t>5</w:t>
        </w:r>
        <w:r>
          <w:rPr>
            <w:webHidden/>
          </w:rPr>
          <w:fldChar w:fldCharType="end"/>
        </w:r>
      </w:hyperlink>
    </w:p>
    <w:p w:rsidR="006202D5" w:rsidRDefault="00432BA9">
      <w:pPr>
        <w:pStyle w:val="Spistreci2"/>
        <w:rPr>
          <w:rFonts w:eastAsiaTheme="minorEastAsia" w:cstheme="minorBidi"/>
          <w:smallCaps w:val="0"/>
          <w:sz w:val="22"/>
          <w:szCs w:val="22"/>
        </w:rPr>
      </w:pPr>
      <w:hyperlink w:anchor="_Toc498462994" w:history="1">
        <w:r w:rsidR="006202D5" w:rsidRPr="00916040">
          <w:rPr>
            <w:rStyle w:val="Hipercze"/>
            <w:rFonts w:eastAsia="Arial"/>
          </w:rPr>
          <w:t>1.6. Dokumentacja robót montażowych i prefabrykacyjnych</w:t>
        </w:r>
        <w:r w:rsidR="006202D5">
          <w:rPr>
            <w:webHidden/>
          </w:rPr>
          <w:tab/>
        </w:r>
        <w:r>
          <w:rPr>
            <w:webHidden/>
          </w:rPr>
          <w:fldChar w:fldCharType="begin"/>
        </w:r>
        <w:r w:rsidR="006202D5">
          <w:rPr>
            <w:webHidden/>
          </w:rPr>
          <w:instrText xml:space="preserve"> PAGEREF _Toc498462994 \h </w:instrText>
        </w:r>
        <w:r>
          <w:rPr>
            <w:webHidden/>
          </w:rPr>
        </w:r>
        <w:r>
          <w:rPr>
            <w:webHidden/>
          </w:rPr>
          <w:fldChar w:fldCharType="separate"/>
        </w:r>
        <w:r w:rsidR="00505061">
          <w:rPr>
            <w:webHidden/>
          </w:rPr>
          <w:t>5</w:t>
        </w:r>
        <w:r>
          <w:rPr>
            <w:webHidden/>
          </w:rPr>
          <w:fldChar w:fldCharType="end"/>
        </w:r>
      </w:hyperlink>
    </w:p>
    <w:p w:rsidR="006202D5" w:rsidRDefault="00432BA9">
      <w:pPr>
        <w:pStyle w:val="Spistreci2"/>
        <w:rPr>
          <w:rFonts w:eastAsiaTheme="minorEastAsia" w:cstheme="minorBidi"/>
          <w:smallCaps w:val="0"/>
          <w:sz w:val="22"/>
          <w:szCs w:val="22"/>
        </w:rPr>
      </w:pPr>
      <w:hyperlink w:anchor="_Toc498462995" w:history="1">
        <w:r w:rsidR="006202D5" w:rsidRPr="00916040">
          <w:rPr>
            <w:rStyle w:val="Hipercze"/>
          </w:rPr>
          <w:t>1.7. Nazwy i kody:</w:t>
        </w:r>
        <w:r w:rsidR="006202D5">
          <w:rPr>
            <w:webHidden/>
          </w:rPr>
          <w:tab/>
        </w:r>
        <w:r>
          <w:rPr>
            <w:webHidden/>
          </w:rPr>
          <w:fldChar w:fldCharType="begin"/>
        </w:r>
        <w:r w:rsidR="006202D5">
          <w:rPr>
            <w:webHidden/>
          </w:rPr>
          <w:instrText xml:space="preserve"> PAGEREF _Toc498462995 \h </w:instrText>
        </w:r>
        <w:r>
          <w:rPr>
            <w:webHidden/>
          </w:rPr>
        </w:r>
        <w:r>
          <w:rPr>
            <w:webHidden/>
          </w:rPr>
          <w:fldChar w:fldCharType="separate"/>
        </w:r>
        <w:r w:rsidR="00505061">
          <w:rPr>
            <w:webHidden/>
          </w:rPr>
          <w:t>5</w:t>
        </w:r>
        <w:r>
          <w:rPr>
            <w:webHidden/>
          </w:rPr>
          <w:fldChar w:fldCharType="end"/>
        </w:r>
      </w:hyperlink>
    </w:p>
    <w:p w:rsidR="006202D5" w:rsidRDefault="00432BA9">
      <w:pPr>
        <w:pStyle w:val="Spistreci1"/>
        <w:rPr>
          <w:rFonts w:eastAsiaTheme="minorEastAsia" w:cstheme="minorBidi"/>
          <w:b w:val="0"/>
          <w:bCs w:val="0"/>
          <w:caps w:val="0"/>
          <w:noProof/>
          <w:sz w:val="22"/>
          <w:szCs w:val="22"/>
        </w:rPr>
      </w:pPr>
      <w:hyperlink w:anchor="_Toc498462996" w:history="1">
        <w:r w:rsidR="006202D5" w:rsidRPr="00916040">
          <w:rPr>
            <w:rStyle w:val="Hipercze"/>
            <w:noProof/>
          </w:rPr>
          <w:t>2.</w:t>
        </w:r>
        <w:r w:rsidR="006202D5">
          <w:rPr>
            <w:rFonts w:eastAsiaTheme="minorEastAsia" w:cstheme="minorBidi"/>
            <w:b w:val="0"/>
            <w:bCs w:val="0"/>
            <w:caps w:val="0"/>
            <w:noProof/>
            <w:sz w:val="22"/>
            <w:szCs w:val="22"/>
          </w:rPr>
          <w:tab/>
        </w:r>
        <w:r w:rsidR="006202D5" w:rsidRPr="00916040">
          <w:rPr>
            <w:rStyle w:val="Hipercze"/>
            <w:noProof/>
          </w:rPr>
          <w:t>WYMAGANIA DOTYCZĄCE WŁAŚCIWOŚCI MATERIAŁÓW</w:t>
        </w:r>
        <w:r w:rsidR="006202D5">
          <w:rPr>
            <w:noProof/>
            <w:webHidden/>
          </w:rPr>
          <w:tab/>
        </w:r>
        <w:r>
          <w:rPr>
            <w:noProof/>
            <w:webHidden/>
          </w:rPr>
          <w:fldChar w:fldCharType="begin"/>
        </w:r>
        <w:r w:rsidR="006202D5">
          <w:rPr>
            <w:noProof/>
            <w:webHidden/>
          </w:rPr>
          <w:instrText xml:space="preserve"> PAGEREF _Toc498462996 \h </w:instrText>
        </w:r>
        <w:r>
          <w:rPr>
            <w:noProof/>
            <w:webHidden/>
          </w:rPr>
        </w:r>
        <w:r>
          <w:rPr>
            <w:noProof/>
            <w:webHidden/>
          </w:rPr>
          <w:fldChar w:fldCharType="separate"/>
        </w:r>
        <w:r w:rsidR="00505061">
          <w:rPr>
            <w:noProof/>
            <w:webHidden/>
          </w:rPr>
          <w:t>5</w:t>
        </w:r>
        <w:r>
          <w:rPr>
            <w:noProof/>
            <w:webHidden/>
          </w:rPr>
          <w:fldChar w:fldCharType="end"/>
        </w:r>
      </w:hyperlink>
    </w:p>
    <w:p w:rsidR="006202D5" w:rsidRDefault="00432BA9">
      <w:pPr>
        <w:pStyle w:val="Spistreci2"/>
        <w:rPr>
          <w:rFonts w:eastAsiaTheme="minorEastAsia" w:cstheme="minorBidi"/>
          <w:smallCaps w:val="0"/>
          <w:sz w:val="22"/>
          <w:szCs w:val="22"/>
        </w:rPr>
      </w:pPr>
      <w:hyperlink w:anchor="_Toc498462997" w:history="1">
        <w:r w:rsidR="006202D5" w:rsidRPr="00916040">
          <w:rPr>
            <w:rStyle w:val="Hipercze"/>
            <w:rFonts w:eastAsia="Arial"/>
          </w:rPr>
          <w:t>2.1. Ogólne wymagania dotyczące właściwości materiałów, ich pozyskiwania i składowania podano w ST „Wymagania ogólne”, pkt 2</w:t>
        </w:r>
        <w:r w:rsidR="006202D5">
          <w:rPr>
            <w:webHidden/>
          </w:rPr>
          <w:tab/>
        </w:r>
        <w:r>
          <w:rPr>
            <w:webHidden/>
          </w:rPr>
          <w:fldChar w:fldCharType="begin"/>
        </w:r>
        <w:r w:rsidR="006202D5">
          <w:rPr>
            <w:webHidden/>
          </w:rPr>
          <w:instrText xml:space="preserve"> PAGEREF _Toc498462997 \h </w:instrText>
        </w:r>
        <w:r>
          <w:rPr>
            <w:webHidden/>
          </w:rPr>
        </w:r>
        <w:r>
          <w:rPr>
            <w:webHidden/>
          </w:rPr>
          <w:fldChar w:fldCharType="separate"/>
        </w:r>
        <w:r w:rsidR="00505061">
          <w:rPr>
            <w:webHidden/>
          </w:rPr>
          <w:t>6</w:t>
        </w:r>
        <w:r>
          <w:rPr>
            <w:webHidden/>
          </w:rPr>
          <w:fldChar w:fldCharType="end"/>
        </w:r>
      </w:hyperlink>
    </w:p>
    <w:p w:rsidR="006202D5" w:rsidRDefault="00432BA9">
      <w:pPr>
        <w:pStyle w:val="Spistreci2"/>
        <w:rPr>
          <w:rFonts w:eastAsiaTheme="minorEastAsia" w:cstheme="minorBidi"/>
          <w:smallCaps w:val="0"/>
          <w:sz w:val="22"/>
          <w:szCs w:val="22"/>
        </w:rPr>
      </w:pPr>
      <w:hyperlink w:anchor="_Toc498462998" w:history="1">
        <w:r w:rsidR="006202D5" w:rsidRPr="00916040">
          <w:rPr>
            <w:rStyle w:val="Hipercze"/>
            <w:rFonts w:eastAsia="Arial"/>
          </w:rPr>
          <w:t>2.2. Rodzaje materiałów</w:t>
        </w:r>
        <w:r w:rsidR="006202D5">
          <w:rPr>
            <w:webHidden/>
          </w:rPr>
          <w:tab/>
        </w:r>
        <w:r>
          <w:rPr>
            <w:webHidden/>
          </w:rPr>
          <w:fldChar w:fldCharType="begin"/>
        </w:r>
        <w:r w:rsidR="006202D5">
          <w:rPr>
            <w:webHidden/>
          </w:rPr>
          <w:instrText xml:space="preserve"> PAGEREF _Toc498462998 \h </w:instrText>
        </w:r>
        <w:r>
          <w:rPr>
            <w:webHidden/>
          </w:rPr>
        </w:r>
        <w:r>
          <w:rPr>
            <w:webHidden/>
          </w:rPr>
          <w:fldChar w:fldCharType="separate"/>
        </w:r>
        <w:r w:rsidR="00505061">
          <w:rPr>
            <w:webHidden/>
          </w:rPr>
          <w:t>6</w:t>
        </w:r>
        <w:r>
          <w:rPr>
            <w:webHidden/>
          </w:rPr>
          <w:fldChar w:fldCharType="end"/>
        </w:r>
      </w:hyperlink>
    </w:p>
    <w:p w:rsidR="006202D5" w:rsidRDefault="00432BA9">
      <w:pPr>
        <w:pStyle w:val="Spistreci2"/>
        <w:rPr>
          <w:rFonts w:eastAsiaTheme="minorEastAsia" w:cstheme="minorBidi"/>
          <w:smallCaps w:val="0"/>
          <w:sz w:val="22"/>
          <w:szCs w:val="22"/>
        </w:rPr>
      </w:pPr>
      <w:hyperlink w:anchor="_Toc498462999" w:history="1">
        <w:r w:rsidR="006202D5" w:rsidRPr="00916040">
          <w:rPr>
            <w:rStyle w:val="Hipercze"/>
            <w:rFonts w:eastAsia="Arial"/>
          </w:rPr>
          <w:t>2.3. Warunki przyjęcia na budowę wyrobów do robót montażowych i prefabrykacji rozdzielnic</w:t>
        </w:r>
        <w:r w:rsidR="006202D5">
          <w:rPr>
            <w:webHidden/>
          </w:rPr>
          <w:tab/>
        </w:r>
        <w:r>
          <w:rPr>
            <w:webHidden/>
          </w:rPr>
          <w:fldChar w:fldCharType="begin"/>
        </w:r>
        <w:r w:rsidR="006202D5">
          <w:rPr>
            <w:webHidden/>
          </w:rPr>
          <w:instrText xml:space="preserve"> PAGEREF _Toc498462999 \h </w:instrText>
        </w:r>
        <w:r>
          <w:rPr>
            <w:webHidden/>
          </w:rPr>
        </w:r>
        <w:r>
          <w:rPr>
            <w:webHidden/>
          </w:rPr>
          <w:fldChar w:fldCharType="separate"/>
        </w:r>
        <w:r w:rsidR="00505061">
          <w:rPr>
            <w:webHidden/>
          </w:rPr>
          <w:t>7</w:t>
        </w:r>
        <w:r>
          <w:rPr>
            <w:webHidden/>
          </w:rPr>
          <w:fldChar w:fldCharType="end"/>
        </w:r>
      </w:hyperlink>
    </w:p>
    <w:p w:rsidR="006202D5" w:rsidRDefault="00432BA9">
      <w:pPr>
        <w:pStyle w:val="Spistreci2"/>
        <w:rPr>
          <w:rFonts w:eastAsiaTheme="minorEastAsia" w:cstheme="minorBidi"/>
          <w:smallCaps w:val="0"/>
          <w:sz w:val="22"/>
          <w:szCs w:val="22"/>
        </w:rPr>
      </w:pPr>
      <w:hyperlink w:anchor="_Toc498463000" w:history="1">
        <w:r w:rsidR="006202D5" w:rsidRPr="00916040">
          <w:rPr>
            <w:rStyle w:val="Hipercze"/>
            <w:rFonts w:eastAsia="Arial"/>
          </w:rPr>
          <w:t>2.4. Warunki przechowywania wyrobów do montażu i prefabrykacji rozdzielnic</w:t>
        </w:r>
        <w:r w:rsidR="006202D5">
          <w:rPr>
            <w:webHidden/>
          </w:rPr>
          <w:tab/>
        </w:r>
        <w:r>
          <w:rPr>
            <w:webHidden/>
          </w:rPr>
          <w:fldChar w:fldCharType="begin"/>
        </w:r>
        <w:r w:rsidR="006202D5">
          <w:rPr>
            <w:webHidden/>
          </w:rPr>
          <w:instrText xml:space="preserve"> PAGEREF _Toc498463000 \h </w:instrText>
        </w:r>
        <w:r>
          <w:rPr>
            <w:webHidden/>
          </w:rPr>
        </w:r>
        <w:r>
          <w:rPr>
            <w:webHidden/>
          </w:rPr>
          <w:fldChar w:fldCharType="separate"/>
        </w:r>
        <w:r w:rsidR="00505061">
          <w:rPr>
            <w:webHidden/>
          </w:rPr>
          <w:t>8</w:t>
        </w:r>
        <w:r>
          <w:rPr>
            <w:webHidden/>
          </w:rPr>
          <w:fldChar w:fldCharType="end"/>
        </w:r>
      </w:hyperlink>
    </w:p>
    <w:p w:rsidR="006202D5" w:rsidRDefault="00432BA9">
      <w:pPr>
        <w:pStyle w:val="Spistreci1"/>
        <w:rPr>
          <w:rFonts w:eastAsiaTheme="minorEastAsia" w:cstheme="minorBidi"/>
          <w:b w:val="0"/>
          <w:bCs w:val="0"/>
          <w:caps w:val="0"/>
          <w:noProof/>
          <w:sz w:val="22"/>
          <w:szCs w:val="22"/>
        </w:rPr>
      </w:pPr>
      <w:hyperlink w:anchor="_Toc498463001" w:history="1">
        <w:r w:rsidR="006202D5" w:rsidRPr="00916040">
          <w:rPr>
            <w:rStyle w:val="Hipercze"/>
            <w:noProof/>
          </w:rPr>
          <w:t>3.</w:t>
        </w:r>
        <w:r w:rsidR="006202D5">
          <w:rPr>
            <w:rFonts w:eastAsiaTheme="minorEastAsia" w:cstheme="minorBidi"/>
            <w:b w:val="0"/>
            <w:bCs w:val="0"/>
            <w:caps w:val="0"/>
            <w:noProof/>
            <w:sz w:val="22"/>
            <w:szCs w:val="22"/>
          </w:rPr>
          <w:tab/>
        </w:r>
        <w:r w:rsidR="006202D5" w:rsidRPr="00916040">
          <w:rPr>
            <w:rStyle w:val="Hipercze"/>
            <w:noProof/>
          </w:rPr>
          <w:t>WYMAGANIA DOTYCZĄCE SPRZĘTU, MASZYN I NARZĘDZI</w:t>
        </w:r>
        <w:r w:rsidR="006202D5">
          <w:rPr>
            <w:noProof/>
            <w:webHidden/>
          </w:rPr>
          <w:tab/>
        </w:r>
        <w:r>
          <w:rPr>
            <w:noProof/>
            <w:webHidden/>
          </w:rPr>
          <w:fldChar w:fldCharType="begin"/>
        </w:r>
        <w:r w:rsidR="006202D5">
          <w:rPr>
            <w:noProof/>
            <w:webHidden/>
          </w:rPr>
          <w:instrText xml:space="preserve"> PAGEREF _Toc498463001 \h </w:instrText>
        </w:r>
        <w:r>
          <w:rPr>
            <w:noProof/>
            <w:webHidden/>
          </w:rPr>
        </w:r>
        <w:r>
          <w:rPr>
            <w:noProof/>
            <w:webHidden/>
          </w:rPr>
          <w:fldChar w:fldCharType="separate"/>
        </w:r>
        <w:r w:rsidR="00505061">
          <w:rPr>
            <w:noProof/>
            <w:webHidden/>
          </w:rPr>
          <w:t>8</w:t>
        </w:r>
        <w:r>
          <w:rPr>
            <w:noProof/>
            <w:webHidden/>
          </w:rPr>
          <w:fldChar w:fldCharType="end"/>
        </w:r>
      </w:hyperlink>
    </w:p>
    <w:p w:rsidR="006202D5" w:rsidRDefault="00432BA9">
      <w:pPr>
        <w:pStyle w:val="Spistreci2"/>
        <w:rPr>
          <w:rFonts w:eastAsiaTheme="minorEastAsia" w:cstheme="minorBidi"/>
          <w:smallCaps w:val="0"/>
          <w:sz w:val="22"/>
          <w:szCs w:val="22"/>
        </w:rPr>
      </w:pPr>
      <w:hyperlink w:anchor="_Toc498463002" w:history="1">
        <w:r w:rsidR="006202D5" w:rsidRPr="00916040">
          <w:rPr>
            <w:rStyle w:val="Hipercze"/>
            <w:rFonts w:eastAsia="Arial"/>
          </w:rPr>
          <w:t>3.1. Ogólne wymagania dotyczące sprzętu podano w ST „Wymagania ogólne”, pkt 3</w:t>
        </w:r>
        <w:r w:rsidR="006202D5">
          <w:rPr>
            <w:webHidden/>
          </w:rPr>
          <w:tab/>
        </w:r>
        <w:r>
          <w:rPr>
            <w:webHidden/>
          </w:rPr>
          <w:fldChar w:fldCharType="begin"/>
        </w:r>
        <w:r w:rsidR="006202D5">
          <w:rPr>
            <w:webHidden/>
          </w:rPr>
          <w:instrText xml:space="preserve"> PAGEREF _Toc498463002 \h </w:instrText>
        </w:r>
        <w:r>
          <w:rPr>
            <w:webHidden/>
          </w:rPr>
        </w:r>
        <w:r>
          <w:rPr>
            <w:webHidden/>
          </w:rPr>
          <w:fldChar w:fldCharType="separate"/>
        </w:r>
        <w:r w:rsidR="00505061">
          <w:rPr>
            <w:webHidden/>
          </w:rPr>
          <w:t>8</w:t>
        </w:r>
        <w:r>
          <w:rPr>
            <w:webHidden/>
          </w:rPr>
          <w:fldChar w:fldCharType="end"/>
        </w:r>
      </w:hyperlink>
    </w:p>
    <w:p w:rsidR="006202D5" w:rsidRDefault="00432BA9">
      <w:pPr>
        <w:pStyle w:val="Spistreci1"/>
        <w:rPr>
          <w:rFonts w:eastAsiaTheme="minorEastAsia" w:cstheme="minorBidi"/>
          <w:b w:val="0"/>
          <w:bCs w:val="0"/>
          <w:caps w:val="0"/>
          <w:noProof/>
          <w:sz w:val="22"/>
          <w:szCs w:val="22"/>
        </w:rPr>
      </w:pPr>
      <w:hyperlink w:anchor="_Toc498463003" w:history="1">
        <w:r w:rsidR="006202D5" w:rsidRPr="00916040">
          <w:rPr>
            <w:rStyle w:val="Hipercze"/>
            <w:noProof/>
          </w:rPr>
          <w:t>4.</w:t>
        </w:r>
        <w:r w:rsidR="006202D5">
          <w:rPr>
            <w:rFonts w:eastAsiaTheme="minorEastAsia" w:cstheme="minorBidi"/>
            <w:b w:val="0"/>
            <w:bCs w:val="0"/>
            <w:caps w:val="0"/>
            <w:noProof/>
            <w:sz w:val="22"/>
            <w:szCs w:val="22"/>
          </w:rPr>
          <w:tab/>
        </w:r>
        <w:r w:rsidR="006202D5" w:rsidRPr="00916040">
          <w:rPr>
            <w:rStyle w:val="Hipercze"/>
            <w:noProof/>
          </w:rPr>
          <w:t>WYMAGANIA DOTYCZĄCE TRANSPORTU</w:t>
        </w:r>
        <w:r w:rsidR="006202D5">
          <w:rPr>
            <w:noProof/>
            <w:webHidden/>
          </w:rPr>
          <w:tab/>
        </w:r>
        <w:r>
          <w:rPr>
            <w:noProof/>
            <w:webHidden/>
          </w:rPr>
          <w:fldChar w:fldCharType="begin"/>
        </w:r>
        <w:r w:rsidR="006202D5">
          <w:rPr>
            <w:noProof/>
            <w:webHidden/>
          </w:rPr>
          <w:instrText xml:space="preserve"> PAGEREF _Toc498463003 \h </w:instrText>
        </w:r>
        <w:r>
          <w:rPr>
            <w:noProof/>
            <w:webHidden/>
          </w:rPr>
        </w:r>
        <w:r>
          <w:rPr>
            <w:noProof/>
            <w:webHidden/>
          </w:rPr>
          <w:fldChar w:fldCharType="separate"/>
        </w:r>
        <w:r w:rsidR="00505061">
          <w:rPr>
            <w:noProof/>
            <w:webHidden/>
          </w:rPr>
          <w:t>8</w:t>
        </w:r>
        <w:r>
          <w:rPr>
            <w:noProof/>
            <w:webHidden/>
          </w:rPr>
          <w:fldChar w:fldCharType="end"/>
        </w:r>
      </w:hyperlink>
    </w:p>
    <w:p w:rsidR="006202D5" w:rsidRDefault="00432BA9">
      <w:pPr>
        <w:pStyle w:val="Spistreci2"/>
        <w:rPr>
          <w:rFonts w:eastAsiaTheme="minorEastAsia" w:cstheme="minorBidi"/>
          <w:smallCaps w:val="0"/>
          <w:sz w:val="22"/>
          <w:szCs w:val="22"/>
        </w:rPr>
      </w:pPr>
      <w:hyperlink w:anchor="_Toc498463004" w:history="1">
        <w:r w:rsidR="006202D5" w:rsidRPr="00916040">
          <w:rPr>
            <w:rStyle w:val="Hipercze"/>
            <w:rFonts w:eastAsia="Arial"/>
          </w:rPr>
          <w:t>4.1. Ogólne wymagania dotyczące transportu podano w ST „Wymagania ogólne” , pkt 4</w:t>
        </w:r>
        <w:r w:rsidR="006202D5">
          <w:rPr>
            <w:webHidden/>
          </w:rPr>
          <w:tab/>
        </w:r>
        <w:r>
          <w:rPr>
            <w:webHidden/>
          </w:rPr>
          <w:fldChar w:fldCharType="begin"/>
        </w:r>
        <w:r w:rsidR="006202D5">
          <w:rPr>
            <w:webHidden/>
          </w:rPr>
          <w:instrText xml:space="preserve"> PAGEREF _Toc498463004 \h </w:instrText>
        </w:r>
        <w:r>
          <w:rPr>
            <w:webHidden/>
          </w:rPr>
        </w:r>
        <w:r>
          <w:rPr>
            <w:webHidden/>
          </w:rPr>
          <w:fldChar w:fldCharType="separate"/>
        </w:r>
        <w:r w:rsidR="00505061">
          <w:rPr>
            <w:webHidden/>
          </w:rPr>
          <w:t>8</w:t>
        </w:r>
        <w:r>
          <w:rPr>
            <w:webHidden/>
          </w:rPr>
          <w:fldChar w:fldCharType="end"/>
        </w:r>
      </w:hyperlink>
    </w:p>
    <w:p w:rsidR="006202D5" w:rsidRDefault="00432BA9">
      <w:pPr>
        <w:pStyle w:val="Spistreci2"/>
        <w:rPr>
          <w:rFonts w:eastAsiaTheme="minorEastAsia" w:cstheme="minorBidi"/>
          <w:smallCaps w:val="0"/>
          <w:sz w:val="22"/>
          <w:szCs w:val="22"/>
        </w:rPr>
      </w:pPr>
      <w:hyperlink w:anchor="_Toc498463005" w:history="1">
        <w:r w:rsidR="006202D5" w:rsidRPr="00916040">
          <w:rPr>
            <w:rStyle w:val="Hipercze"/>
            <w:rFonts w:eastAsia="Arial"/>
          </w:rPr>
          <w:t>4.2. Transport materiałów</w:t>
        </w:r>
        <w:r w:rsidR="006202D5">
          <w:rPr>
            <w:webHidden/>
          </w:rPr>
          <w:tab/>
        </w:r>
        <w:r>
          <w:rPr>
            <w:webHidden/>
          </w:rPr>
          <w:fldChar w:fldCharType="begin"/>
        </w:r>
        <w:r w:rsidR="006202D5">
          <w:rPr>
            <w:webHidden/>
          </w:rPr>
          <w:instrText xml:space="preserve"> PAGEREF _Toc498463005 \h </w:instrText>
        </w:r>
        <w:r>
          <w:rPr>
            <w:webHidden/>
          </w:rPr>
        </w:r>
        <w:r>
          <w:rPr>
            <w:webHidden/>
          </w:rPr>
          <w:fldChar w:fldCharType="separate"/>
        </w:r>
        <w:r w:rsidR="00505061">
          <w:rPr>
            <w:webHidden/>
          </w:rPr>
          <w:t>8</w:t>
        </w:r>
        <w:r>
          <w:rPr>
            <w:webHidden/>
          </w:rPr>
          <w:fldChar w:fldCharType="end"/>
        </w:r>
      </w:hyperlink>
    </w:p>
    <w:p w:rsidR="006202D5" w:rsidRDefault="00432BA9">
      <w:pPr>
        <w:pStyle w:val="Spistreci1"/>
        <w:rPr>
          <w:rFonts w:eastAsiaTheme="minorEastAsia" w:cstheme="minorBidi"/>
          <w:b w:val="0"/>
          <w:bCs w:val="0"/>
          <w:caps w:val="0"/>
          <w:noProof/>
          <w:sz w:val="22"/>
          <w:szCs w:val="22"/>
        </w:rPr>
      </w:pPr>
      <w:hyperlink w:anchor="_Toc498463006" w:history="1">
        <w:r w:rsidR="006202D5" w:rsidRPr="00916040">
          <w:rPr>
            <w:rStyle w:val="Hipercze"/>
            <w:noProof/>
          </w:rPr>
          <w:t>5.</w:t>
        </w:r>
        <w:r w:rsidR="006202D5">
          <w:rPr>
            <w:rFonts w:eastAsiaTheme="minorEastAsia" w:cstheme="minorBidi"/>
            <w:b w:val="0"/>
            <w:bCs w:val="0"/>
            <w:caps w:val="0"/>
            <w:noProof/>
            <w:sz w:val="22"/>
            <w:szCs w:val="22"/>
          </w:rPr>
          <w:tab/>
        </w:r>
        <w:r w:rsidR="006202D5" w:rsidRPr="00916040">
          <w:rPr>
            <w:rStyle w:val="Hipercze"/>
            <w:noProof/>
          </w:rPr>
          <w:t>WYMAGANIA DOTYCZĄCE WYKONANIA ROBÓT</w:t>
        </w:r>
        <w:r w:rsidR="006202D5">
          <w:rPr>
            <w:noProof/>
            <w:webHidden/>
          </w:rPr>
          <w:tab/>
        </w:r>
        <w:r>
          <w:rPr>
            <w:noProof/>
            <w:webHidden/>
          </w:rPr>
          <w:fldChar w:fldCharType="begin"/>
        </w:r>
        <w:r w:rsidR="006202D5">
          <w:rPr>
            <w:noProof/>
            <w:webHidden/>
          </w:rPr>
          <w:instrText xml:space="preserve"> PAGEREF _Toc498463006 \h </w:instrText>
        </w:r>
        <w:r>
          <w:rPr>
            <w:noProof/>
            <w:webHidden/>
          </w:rPr>
        </w:r>
        <w:r>
          <w:rPr>
            <w:noProof/>
            <w:webHidden/>
          </w:rPr>
          <w:fldChar w:fldCharType="separate"/>
        </w:r>
        <w:r w:rsidR="00505061">
          <w:rPr>
            <w:noProof/>
            <w:webHidden/>
          </w:rPr>
          <w:t>8</w:t>
        </w:r>
        <w:r>
          <w:rPr>
            <w:noProof/>
            <w:webHidden/>
          </w:rPr>
          <w:fldChar w:fldCharType="end"/>
        </w:r>
      </w:hyperlink>
    </w:p>
    <w:p w:rsidR="006202D5" w:rsidRDefault="00432BA9">
      <w:pPr>
        <w:pStyle w:val="Spistreci2"/>
        <w:rPr>
          <w:rFonts w:eastAsiaTheme="minorEastAsia" w:cstheme="minorBidi"/>
          <w:smallCaps w:val="0"/>
          <w:sz w:val="22"/>
          <w:szCs w:val="22"/>
        </w:rPr>
      </w:pPr>
      <w:hyperlink w:anchor="_Toc498463007" w:history="1">
        <w:r w:rsidR="006202D5" w:rsidRPr="00916040">
          <w:rPr>
            <w:rStyle w:val="Hipercze"/>
            <w:rFonts w:eastAsia="Arial"/>
          </w:rPr>
          <w:t>5.1. Ogólne zasady wykonania robót podano w ST „Wymagania ogólne”, pkt 5</w:t>
        </w:r>
        <w:r w:rsidR="006202D5">
          <w:rPr>
            <w:webHidden/>
          </w:rPr>
          <w:tab/>
        </w:r>
        <w:r>
          <w:rPr>
            <w:webHidden/>
          </w:rPr>
          <w:fldChar w:fldCharType="begin"/>
        </w:r>
        <w:r w:rsidR="006202D5">
          <w:rPr>
            <w:webHidden/>
          </w:rPr>
          <w:instrText xml:space="preserve"> PAGEREF _Toc498463007 \h </w:instrText>
        </w:r>
        <w:r>
          <w:rPr>
            <w:webHidden/>
          </w:rPr>
        </w:r>
        <w:r>
          <w:rPr>
            <w:webHidden/>
          </w:rPr>
          <w:fldChar w:fldCharType="separate"/>
        </w:r>
        <w:r w:rsidR="00505061">
          <w:rPr>
            <w:webHidden/>
          </w:rPr>
          <w:t>8</w:t>
        </w:r>
        <w:r>
          <w:rPr>
            <w:webHidden/>
          </w:rPr>
          <w:fldChar w:fldCharType="end"/>
        </w:r>
      </w:hyperlink>
    </w:p>
    <w:p w:rsidR="006202D5" w:rsidRDefault="00432BA9">
      <w:pPr>
        <w:pStyle w:val="Spistreci2"/>
        <w:rPr>
          <w:rFonts w:eastAsiaTheme="minorEastAsia" w:cstheme="minorBidi"/>
          <w:smallCaps w:val="0"/>
          <w:sz w:val="22"/>
          <w:szCs w:val="22"/>
        </w:rPr>
      </w:pPr>
      <w:hyperlink w:anchor="_Toc498463008" w:history="1">
        <w:r w:rsidR="006202D5" w:rsidRPr="00916040">
          <w:rPr>
            <w:rStyle w:val="Hipercze"/>
            <w:rFonts w:eastAsia="Arial"/>
          </w:rPr>
          <w:t>5.2. Prefabrykacja rozdzielnic elektrycznych</w:t>
        </w:r>
        <w:r w:rsidR="006202D5">
          <w:rPr>
            <w:webHidden/>
          </w:rPr>
          <w:tab/>
        </w:r>
        <w:r>
          <w:rPr>
            <w:webHidden/>
          </w:rPr>
          <w:fldChar w:fldCharType="begin"/>
        </w:r>
        <w:r w:rsidR="006202D5">
          <w:rPr>
            <w:webHidden/>
          </w:rPr>
          <w:instrText xml:space="preserve"> PAGEREF _Toc498463008 \h </w:instrText>
        </w:r>
        <w:r>
          <w:rPr>
            <w:webHidden/>
          </w:rPr>
        </w:r>
        <w:r>
          <w:rPr>
            <w:webHidden/>
          </w:rPr>
          <w:fldChar w:fldCharType="separate"/>
        </w:r>
        <w:r w:rsidR="00505061">
          <w:rPr>
            <w:webHidden/>
          </w:rPr>
          <w:t>8</w:t>
        </w:r>
        <w:r>
          <w:rPr>
            <w:webHidden/>
          </w:rPr>
          <w:fldChar w:fldCharType="end"/>
        </w:r>
      </w:hyperlink>
    </w:p>
    <w:p w:rsidR="006202D5" w:rsidRDefault="00432BA9">
      <w:pPr>
        <w:pStyle w:val="Spistreci2"/>
        <w:rPr>
          <w:rFonts w:eastAsiaTheme="minorEastAsia" w:cstheme="minorBidi"/>
          <w:smallCaps w:val="0"/>
          <w:sz w:val="22"/>
          <w:szCs w:val="22"/>
        </w:rPr>
      </w:pPr>
      <w:hyperlink w:anchor="_Toc498463009" w:history="1">
        <w:r w:rsidR="006202D5" w:rsidRPr="00916040">
          <w:rPr>
            <w:rStyle w:val="Hipercze"/>
            <w:rFonts w:eastAsia="Arial"/>
          </w:rPr>
          <w:t>5.3. Montaż rozdzielnic elektrycznych</w:t>
        </w:r>
        <w:r w:rsidR="006202D5">
          <w:rPr>
            <w:webHidden/>
          </w:rPr>
          <w:tab/>
        </w:r>
        <w:r>
          <w:rPr>
            <w:webHidden/>
          </w:rPr>
          <w:fldChar w:fldCharType="begin"/>
        </w:r>
        <w:r w:rsidR="006202D5">
          <w:rPr>
            <w:webHidden/>
          </w:rPr>
          <w:instrText xml:space="preserve"> PAGEREF _Toc498463009 \h </w:instrText>
        </w:r>
        <w:r>
          <w:rPr>
            <w:webHidden/>
          </w:rPr>
        </w:r>
        <w:r>
          <w:rPr>
            <w:webHidden/>
          </w:rPr>
          <w:fldChar w:fldCharType="separate"/>
        </w:r>
        <w:r w:rsidR="00505061">
          <w:rPr>
            <w:webHidden/>
          </w:rPr>
          <w:t>10</w:t>
        </w:r>
        <w:r>
          <w:rPr>
            <w:webHidden/>
          </w:rPr>
          <w:fldChar w:fldCharType="end"/>
        </w:r>
      </w:hyperlink>
    </w:p>
    <w:p w:rsidR="006202D5" w:rsidRDefault="00432BA9">
      <w:pPr>
        <w:pStyle w:val="Spistreci1"/>
        <w:rPr>
          <w:rFonts w:eastAsiaTheme="minorEastAsia" w:cstheme="minorBidi"/>
          <w:b w:val="0"/>
          <w:bCs w:val="0"/>
          <w:caps w:val="0"/>
          <w:noProof/>
          <w:sz w:val="22"/>
          <w:szCs w:val="22"/>
        </w:rPr>
      </w:pPr>
      <w:hyperlink w:anchor="_Toc498463010" w:history="1">
        <w:r w:rsidR="006202D5" w:rsidRPr="00916040">
          <w:rPr>
            <w:rStyle w:val="Hipercze"/>
            <w:noProof/>
          </w:rPr>
          <w:t>6.</w:t>
        </w:r>
        <w:r w:rsidR="006202D5">
          <w:rPr>
            <w:rFonts w:eastAsiaTheme="minorEastAsia" w:cstheme="minorBidi"/>
            <w:b w:val="0"/>
            <w:bCs w:val="0"/>
            <w:caps w:val="0"/>
            <w:noProof/>
            <w:sz w:val="22"/>
            <w:szCs w:val="22"/>
          </w:rPr>
          <w:tab/>
        </w:r>
        <w:r w:rsidR="006202D5" w:rsidRPr="00916040">
          <w:rPr>
            <w:rStyle w:val="Hipercze"/>
            <w:noProof/>
          </w:rPr>
          <w:t>KONTROLA JAKOŚCI ROBÓT</w:t>
        </w:r>
        <w:r w:rsidR="006202D5">
          <w:rPr>
            <w:noProof/>
            <w:webHidden/>
          </w:rPr>
          <w:tab/>
        </w:r>
        <w:r>
          <w:rPr>
            <w:noProof/>
            <w:webHidden/>
          </w:rPr>
          <w:fldChar w:fldCharType="begin"/>
        </w:r>
        <w:r w:rsidR="006202D5">
          <w:rPr>
            <w:noProof/>
            <w:webHidden/>
          </w:rPr>
          <w:instrText xml:space="preserve"> PAGEREF _Toc498463010 \h </w:instrText>
        </w:r>
        <w:r>
          <w:rPr>
            <w:noProof/>
            <w:webHidden/>
          </w:rPr>
        </w:r>
        <w:r>
          <w:rPr>
            <w:noProof/>
            <w:webHidden/>
          </w:rPr>
          <w:fldChar w:fldCharType="separate"/>
        </w:r>
        <w:r w:rsidR="00505061">
          <w:rPr>
            <w:noProof/>
            <w:webHidden/>
          </w:rPr>
          <w:t>10</w:t>
        </w:r>
        <w:r>
          <w:rPr>
            <w:noProof/>
            <w:webHidden/>
          </w:rPr>
          <w:fldChar w:fldCharType="end"/>
        </w:r>
      </w:hyperlink>
    </w:p>
    <w:p w:rsidR="006202D5" w:rsidRDefault="00432BA9">
      <w:pPr>
        <w:pStyle w:val="Spistreci2"/>
        <w:rPr>
          <w:rFonts w:eastAsiaTheme="minorEastAsia" w:cstheme="minorBidi"/>
          <w:smallCaps w:val="0"/>
          <w:sz w:val="22"/>
          <w:szCs w:val="22"/>
        </w:rPr>
      </w:pPr>
      <w:hyperlink w:anchor="_Toc498463011" w:history="1">
        <w:r w:rsidR="006202D5" w:rsidRPr="00916040">
          <w:rPr>
            <w:rStyle w:val="Hipercze"/>
            <w:rFonts w:eastAsia="Arial"/>
          </w:rPr>
          <w:t>6.1. Ogólne zasady kontroli jakości robót podano w ST „Wymagania ogólne”, pkt 6</w:t>
        </w:r>
        <w:r w:rsidR="006202D5">
          <w:rPr>
            <w:webHidden/>
          </w:rPr>
          <w:tab/>
        </w:r>
        <w:r>
          <w:rPr>
            <w:webHidden/>
          </w:rPr>
          <w:fldChar w:fldCharType="begin"/>
        </w:r>
        <w:r w:rsidR="006202D5">
          <w:rPr>
            <w:webHidden/>
          </w:rPr>
          <w:instrText xml:space="preserve"> PAGEREF _Toc498463011 \h </w:instrText>
        </w:r>
        <w:r>
          <w:rPr>
            <w:webHidden/>
          </w:rPr>
        </w:r>
        <w:r>
          <w:rPr>
            <w:webHidden/>
          </w:rPr>
          <w:fldChar w:fldCharType="separate"/>
        </w:r>
        <w:r w:rsidR="00505061">
          <w:rPr>
            <w:webHidden/>
          </w:rPr>
          <w:t>10</w:t>
        </w:r>
        <w:r>
          <w:rPr>
            <w:webHidden/>
          </w:rPr>
          <w:fldChar w:fldCharType="end"/>
        </w:r>
      </w:hyperlink>
    </w:p>
    <w:p w:rsidR="006202D5" w:rsidRDefault="00432BA9">
      <w:pPr>
        <w:pStyle w:val="Spistreci2"/>
        <w:rPr>
          <w:rFonts w:eastAsiaTheme="minorEastAsia" w:cstheme="minorBidi"/>
          <w:smallCaps w:val="0"/>
          <w:sz w:val="22"/>
          <w:szCs w:val="22"/>
        </w:rPr>
      </w:pPr>
      <w:hyperlink w:anchor="_Toc498463012" w:history="1">
        <w:r w:rsidR="006202D5" w:rsidRPr="00916040">
          <w:rPr>
            <w:rStyle w:val="Hipercze"/>
            <w:rFonts w:eastAsia="Arial"/>
          </w:rPr>
          <w:t xml:space="preserve">6.2. Szczegółowy wykaz oraz zakres pomontażowych badań rozdzielnic zawarty jest w PN-EN </w:t>
        </w:r>
        <w:r w:rsidR="006202D5" w:rsidRPr="00916040">
          <w:rPr>
            <w:rStyle w:val="Hipercze"/>
            <w:rFonts w:eastAsia="Arial" w:cstheme="minorHAnsi"/>
          </w:rPr>
          <w:t>60439-1:2003 i PN-E-04700:1998/Az1:2000</w:t>
        </w:r>
        <w:r w:rsidR="006202D5">
          <w:rPr>
            <w:webHidden/>
          </w:rPr>
          <w:tab/>
        </w:r>
        <w:r>
          <w:rPr>
            <w:webHidden/>
          </w:rPr>
          <w:fldChar w:fldCharType="begin"/>
        </w:r>
        <w:r w:rsidR="006202D5">
          <w:rPr>
            <w:webHidden/>
          </w:rPr>
          <w:instrText xml:space="preserve"> PAGEREF _Toc498463012 \h </w:instrText>
        </w:r>
        <w:r>
          <w:rPr>
            <w:webHidden/>
          </w:rPr>
        </w:r>
        <w:r>
          <w:rPr>
            <w:webHidden/>
          </w:rPr>
          <w:fldChar w:fldCharType="separate"/>
        </w:r>
        <w:r w:rsidR="00505061">
          <w:rPr>
            <w:webHidden/>
          </w:rPr>
          <w:t>10</w:t>
        </w:r>
        <w:r>
          <w:rPr>
            <w:webHidden/>
          </w:rPr>
          <w:fldChar w:fldCharType="end"/>
        </w:r>
      </w:hyperlink>
    </w:p>
    <w:p w:rsidR="006202D5" w:rsidRDefault="00432BA9">
      <w:pPr>
        <w:pStyle w:val="Spistreci2"/>
        <w:rPr>
          <w:rFonts w:eastAsiaTheme="minorEastAsia" w:cstheme="minorBidi"/>
          <w:smallCaps w:val="0"/>
          <w:sz w:val="22"/>
          <w:szCs w:val="22"/>
        </w:rPr>
      </w:pPr>
      <w:hyperlink w:anchor="_Toc498463013" w:history="1">
        <w:r w:rsidR="006202D5" w:rsidRPr="00916040">
          <w:rPr>
            <w:rStyle w:val="Hipercze"/>
            <w:rFonts w:eastAsia="Arial"/>
          </w:rPr>
          <w:t>6.3. Zasady postępowania z wadliwie wykonanymi robotami i materiałami</w:t>
        </w:r>
        <w:r w:rsidR="006202D5">
          <w:rPr>
            <w:webHidden/>
          </w:rPr>
          <w:tab/>
        </w:r>
        <w:r>
          <w:rPr>
            <w:webHidden/>
          </w:rPr>
          <w:fldChar w:fldCharType="begin"/>
        </w:r>
        <w:r w:rsidR="006202D5">
          <w:rPr>
            <w:webHidden/>
          </w:rPr>
          <w:instrText xml:space="preserve"> PAGEREF _Toc498463013 \h </w:instrText>
        </w:r>
        <w:r>
          <w:rPr>
            <w:webHidden/>
          </w:rPr>
        </w:r>
        <w:r>
          <w:rPr>
            <w:webHidden/>
          </w:rPr>
          <w:fldChar w:fldCharType="separate"/>
        </w:r>
        <w:r w:rsidR="00505061">
          <w:rPr>
            <w:webHidden/>
          </w:rPr>
          <w:t>11</w:t>
        </w:r>
        <w:r>
          <w:rPr>
            <w:webHidden/>
          </w:rPr>
          <w:fldChar w:fldCharType="end"/>
        </w:r>
      </w:hyperlink>
    </w:p>
    <w:p w:rsidR="006202D5" w:rsidRDefault="00432BA9">
      <w:pPr>
        <w:pStyle w:val="Spistreci1"/>
        <w:rPr>
          <w:rFonts w:eastAsiaTheme="minorEastAsia" w:cstheme="minorBidi"/>
          <w:b w:val="0"/>
          <w:bCs w:val="0"/>
          <w:caps w:val="0"/>
          <w:noProof/>
          <w:sz w:val="22"/>
          <w:szCs w:val="22"/>
        </w:rPr>
      </w:pPr>
      <w:hyperlink w:anchor="_Toc498463014" w:history="1">
        <w:r w:rsidR="006202D5" w:rsidRPr="00916040">
          <w:rPr>
            <w:rStyle w:val="Hipercze"/>
            <w:noProof/>
          </w:rPr>
          <w:t>7.</w:t>
        </w:r>
        <w:r w:rsidR="006202D5">
          <w:rPr>
            <w:rFonts w:eastAsiaTheme="minorEastAsia" w:cstheme="minorBidi"/>
            <w:b w:val="0"/>
            <w:bCs w:val="0"/>
            <w:caps w:val="0"/>
            <w:noProof/>
            <w:sz w:val="22"/>
            <w:szCs w:val="22"/>
          </w:rPr>
          <w:tab/>
        </w:r>
        <w:r w:rsidR="006202D5" w:rsidRPr="00916040">
          <w:rPr>
            <w:rStyle w:val="Hipercze"/>
            <w:noProof/>
          </w:rPr>
          <w:t>WYMAGANIA DOTYCZĄCE PRZEDMIARU I OBMIARU ROBÓT</w:t>
        </w:r>
        <w:r w:rsidR="006202D5">
          <w:rPr>
            <w:noProof/>
            <w:webHidden/>
          </w:rPr>
          <w:tab/>
        </w:r>
        <w:r>
          <w:rPr>
            <w:noProof/>
            <w:webHidden/>
          </w:rPr>
          <w:fldChar w:fldCharType="begin"/>
        </w:r>
        <w:r w:rsidR="006202D5">
          <w:rPr>
            <w:noProof/>
            <w:webHidden/>
          </w:rPr>
          <w:instrText xml:space="preserve"> PAGEREF _Toc498463014 \h </w:instrText>
        </w:r>
        <w:r>
          <w:rPr>
            <w:noProof/>
            <w:webHidden/>
          </w:rPr>
        </w:r>
        <w:r>
          <w:rPr>
            <w:noProof/>
            <w:webHidden/>
          </w:rPr>
          <w:fldChar w:fldCharType="separate"/>
        </w:r>
        <w:r w:rsidR="00505061">
          <w:rPr>
            <w:noProof/>
            <w:webHidden/>
          </w:rPr>
          <w:t>11</w:t>
        </w:r>
        <w:r>
          <w:rPr>
            <w:noProof/>
            <w:webHidden/>
          </w:rPr>
          <w:fldChar w:fldCharType="end"/>
        </w:r>
      </w:hyperlink>
    </w:p>
    <w:p w:rsidR="006202D5" w:rsidRDefault="00432BA9">
      <w:pPr>
        <w:pStyle w:val="Spistreci2"/>
        <w:rPr>
          <w:rFonts w:eastAsiaTheme="minorEastAsia" w:cstheme="minorBidi"/>
          <w:smallCaps w:val="0"/>
          <w:sz w:val="22"/>
          <w:szCs w:val="22"/>
        </w:rPr>
      </w:pPr>
      <w:hyperlink w:anchor="_Toc498463015" w:history="1">
        <w:r w:rsidR="006202D5" w:rsidRPr="00916040">
          <w:rPr>
            <w:rStyle w:val="Hipercze"/>
            <w:rFonts w:eastAsia="Arial"/>
          </w:rPr>
          <w:t>7.1. Ogólne zasady przedmiaru i obmiaru podano w ST „Wymagania ogólne”, pkt 7</w:t>
        </w:r>
        <w:r w:rsidR="006202D5">
          <w:rPr>
            <w:webHidden/>
          </w:rPr>
          <w:tab/>
        </w:r>
        <w:r>
          <w:rPr>
            <w:webHidden/>
          </w:rPr>
          <w:fldChar w:fldCharType="begin"/>
        </w:r>
        <w:r w:rsidR="006202D5">
          <w:rPr>
            <w:webHidden/>
          </w:rPr>
          <w:instrText xml:space="preserve"> PAGEREF _Toc498463015 \h </w:instrText>
        </w:r>
        <w:r>
          <w:rPr>
            <w:webHidden/>
          </w:rPr>
        </w:r>
        <w:r>
          <w:rPr>
            <w:webHidden/>
          </w:rPr>
          <w:fldChar w:fldCharType="separate"/>
        </w:r>
        <w:r w:rsidR="00505061">
          <w:rPr>
            <w:webHidden/>
          </w:rPr>
          <w:t>11</w:t>
        </w:r>
        <w:r>
          <w:rPr>
            <w:webHidden/>
          </w:rPr>
          <w:fldChar w:fldCharType="end"/>
        </w:r>
      </w:hyperlink>
    </w:p>
    <w:p w:rsidR="006202D5" w:rsidRDefault="00432BA9">
      <w:pPr>
        <w:pStyle w:val="Spistreci2"/>
        <w:rPr>
          <w:rFonts w:eastAsiaTheme="minorEastAsia" w:cstheme="minorBidi"/>
          <w:smallCaps w:val="0"/>
          <w:sz w:val="22"/>
          <w:szCs w:val="22"/>
        </w:rPr>
      </w:pPr>
      <w:hyperlink w:anchor="_Toc498463016" w:history="1">
        <w:r w:rsidR="006202D5" w:rsidRPr="00916040">
          <w:rPr>
            <w:rStyle w:val="Hipercze"/>
            <w:rFonts w:eastAsia="Arial"/>
          </w:rPr>
          <w:t>7.2. Szczegółowe zasady przedmiaru i obmiaru robót montażowych i prefabrykacji</w:t>
        </w:r>
        <w:r w:rsidR="006202D5">
          <w:rPr>
            <w:webHidden/>
          </w:rPr>
          <w:tab/>
        </w:r>
        <w:r>
          <w:rPr>
            <w:webHidden/>
          </w:rPr>
          <w:fldChar w:fldCharType="begin"/>
        </w:r>
        <w:r w:rsidR="006202D5">
          <w:rPr>
            <w:webHidden/>
          </w:rPr>
          <w:instrText xml:space="preserve"> PAGEREF _Toc498463016 \h </w:instrText>
        </w:r>
        <w:r>
          <w:rPr>
            <w:webHidden/>
          </w:rPr>
        </w:r>
        <w:r>
          <w:rPr>
            <w:webHidden/>
          </w:rPr>
          <w:fldChar w:fldCharType="separate"/>
        </w:r>
        <w:r w:rsidR="00505061">
          <w:rPr>
            <w:webHidden/>
          </w:rPr>
          <w:t>11</w:t>
        </w:r>
        <w:r>
          <w:rPr>
            <w:webHidden/>
          </w:rPr>
          <w:fldChar w:fldCharType="end"/>
        </w:r>
      </w:hyperlink>
    </w:p>
    <w:p w:rsidR="006202D5" w:rsidRDefault="00432BA9">
      <w:pPr>
        <w:pStyle w:val="Spistreci1"/>
        <w:rPr>
          <w:rFonts w:eastAsiaTheme="minorEastAsia" w:cstheme="minorBidi"/>
          <w:b w:val="0"/>
          <w:bCs w:val="0"/>
          <w:caps w:val="0"/>
          <w:noProof/>
          <w:sz w:val="22"/>
          <w:szCs w:val="22"/>
        </w:rPr>
      </w:pPr>
      <w:hyperlink w:anchor="_Toc498463017" w:history="1">
        <w:r w:rsidR="006202D5" w:rsidRPr="00916040">
          <w:rPr>
            <w:rStyle w:val="Hipercze"/>
            <w:noProof/>
          </w:rPr>
          <w:t>8.</w:t>
        </w:r>
        <w:r w:rsidR="006202D5">
          <w:rPr>
            <w:rFonts w:eastAsiaTheme="minorEastAsia" w:cstheme="minorBidi"/>
            <w:b w:val="0"/>
            <w:bCs w:val="0"/>
            <w:caps w:val="0"/>
            <w:noProof/>
            <w:sz w:val="22"/>
            <w:szCs w:val="22"/>
          </w:rPr>
          <w:tab/>
        </w:r>
        <w:r w:rsidR="006202D5" w:rsidRPr="00916040">
          <w:rPr>
            <w:rStyle w:val="Hipercze"/>
            <w:noProof/>
          </w:rPr>
          <w:t>SPOSÓB ODBIORU ROBÓT</w:t>
        </w:r>
        <w:r w:rsidR="006202D5">
          <w:rPr>
            <w:noProof/>
            <w:webHidden/>
          </w:rPr>
          <w:tab/>
        </w:r>
        <w:r>
          <w:rPr>
            <w:noProof/>
            <w:webHidden/>
          </w:rPr>
          <w:fldChar w:fldCharType="begin"/>
        </w:r>
        <w:r w:rsidR="006202D5">
          <w:rPr>
            <w:noProof/>
            <w:webHidden/>
          </w:rPr>
          <w:instrText xml:space="preserve"> PAGEREF _Toc498463017 \h </w:instrText>
        </w:r>
        <w:r>
          <w:rPr>
            <w:noProof/>
            <w:webHidden/>
          </w:rPr>
        </w:r>
        <w:r>
          <w:rPr>
            <w:noProof/>
            <w:webHidden/>
          </w:rPr>
          <w:fldChar w:fldCharType="separate"/>
        </w:r>
        <w:r w:rsidR="00505061">
          <w:rPr>
            <w:noProof/>
            <w:webHidden/>
          </w:rPr>
          <w:t>11</w:t>
        </w:r>
        <w:r>
          <w:rPr>
            <w:noProof/>
            <w:webHidden/>
          </w:rPr>
          <w:fldChar w:fldCharType="end"/>
        </w:r>
      </w:hyperlink>
    </w:p>
    <w:p w:rsidR="006202D5" w:rsidRDefault="00432BA9">
      <w:pPr>
        <w:pStyle w:val="Spistreci2"/>
        <w:rPr>
          <w:rFonts w:eastAsiaTheme="minorEastAsia" w:cstheme="minorBidi"/>
          <w:smallCaps w:val="0"/>
          <w:sz w:val="22"/>
          <w:szCs w:val="22"/>
        </w:rPr>
      </w:pPr>
      <w:hyperlink w:anchor="_Toc498463018" w:history="1">
        <w:r w:rsidR="006202D5" w:rsidRPr="00916040">
          <w:rPr>
            <w:rStyle w:val="Hipercze"/>
            <w:rFonts w:eastAsia="Arial"/>
          </w:rPr>
          <w:t>8.1. Ogólne zasady odbioru robót podano w ST „Wymagania ogólne” , pkt 8</w:t>
        </w:r>
        <w:r w:rsidR="006202D5">
          <w:rPr>
            <w:webHidden/>
          </w:rPr>
          <w:tab/>
        </w:r>
        <w:r>
          <w:rPr>
            <w:webHidden/>
          </w:rPr>
          <w:fldChar w:fldCharType="begin"/>
        </w:r>
        <w:r w:rsidR="006202D5">
          <w:rPr>
            <w:webHidden/>
          </w:rPr>
          <w:instrText xml:space="preserve"> PAGEREF _Toc498463018 \h </w:instrText>
        </w:r>
        <w:r>
          <w:rPr>
            <w:webHidden/>
          </w:rPr>
        </w:r>
        <w:r>
          <w:rPr>
            <w:webHidden/>
          </w:rPr>
          <w:fldChar w:fldCharType="separate"/>
        </w:r>
        <w:r w:rsidR="00505061">
          <w:rPr>
            <w:webHidden/>
          </w:rPr>
          <w:t>11</w:t>
        </w:r>
        <w:r>
          <w:rPr>
            <w:webHidden/>
          </w:rPr>
          <w:fldChar w:fldCharType="end"/>
        </w:r>
      </w:hyperlink>
    </w:p>
    <w:p w:rsidR="006202D5" w:rsidRDefault="00432BA9">
      <w:pPr>
        <w:pStyle w:val="Spistreci2"/>
        <w:rPr>
          <w:rFonts w:eastAsiaTheme="minorEastAsia" w:cstheme="minorBidi"/>
          <w:smallCaps w:val="0"/>
          <w:sz w:val="22"/>
          <w:szCs w:val="22"/>
        </w:rPr>
      </w:pPr>
      <w:hyperlink w:anchor="_Toc498463019" w:history="1">
        <w:r w:rsidR="006202D5" w:rsidRPr="00916040">
          <w:rPr>
            <w:rStyle w:val="Hipercze"/>
            <w:rFonts w:eastAsia="Arial"/>
          </w:rPr>
          <w:t>8.2. Warunki odbioru instalacji i urządzeń zasilających</w:t>
        </w:r>
        <w:r w:rsidR="006202D5">
          <w:rPr>
            <w:webHidden/>
          </w:rPr>
          <w:tab/>
        </w:r>
        <w:r>
          <w:rPr>
            <w:webHidden/>
          </w:rPr>
          <w:fldChar w:fldCharType="begin"/>
        </w:r>
        <w:r w:rsidR="006202D5">
          <w:rPr>
            <w:webHidden/>
          </w:rPr>
          <w:instrText xml:space="preserve"> PAGEREF _Toc498463019 \h </w:instrText>
        </w:r>
        <w:r>
          <w:rPr>
            <w:webHidden/>
          </w:rPr>
        </w:r>
        <w:r>
          <w:rPr>
            <w:webHidden/>
          </w:rPr>
          <w:fldChar w:fldCharType="separate"/>
        </w:r>
        <w:r w:rsidR="00505061">
          <w:rPr>
            <w:webHidden/>
          </w:rPr>
          <w:t>11</w:t>
        </w:r>
        <w:r>
          <w:rPr>
            <w:webHidden/>
          </w:rPr>
          <w:fldChar w:fldCharType="end"/>
        </w:r>
      </w:hyperlink>
    </w:p>
    <w:p w:rsidR="006202D5" w:rsidRDefault="00432BA9">
      <w:pPr>
        <w:pStyle w:val="Spistreci1"/>
        <w:rPr>
          <w:rFonts w:eastAsiaTheme="minorEastAsia" w:cstheme="minorBidi"/>
          <w:b w:val="0"/>
          <w:bCs w:val="0"/>
          <w:caps w:val="0"/>
          <w:noProof/>
          <w:sz w:val="22"/>
          <w:szCs w:val="22"/>
        </w:rPr>
      </w:pPr>
      <w:hyperlink w:anchor="_Toc498463020" w:history="1">
        <w:r w:rsidR="006202D5" w:rsidRPr="00916040">
          <w:rPr>
            <w:rStyle w:val="Hipercze"/>
            <w:noProof/>
          </w:rPr>
          <w:t>9.</w:t>
        </w:r>
        <w:r w:rsidR="006202D5">
          <w:rPr>
            <w:rFonts w:eastAsiaTheme="minorEastAsia" w:cstheme="minorBidi"/>
            <w:b w:val="0"/>
            <w:bCs w:val="0"/>
            <w:caps w:val="0"/>
            <w:noProof/>
            <w:sz w:val="22"/>
            <w:szCs w:val="22"/>
          </w:rPr>
          <w:tab/>
        </w:r>
        <w:r w:rsidR="006202D5" w:rsidRPr="00916040">
          <w:rPr>
            <w:rStyle w:val="Hipercze"/>
            <w:noProof/>
          </w:rPr>
          <w:t>PODSTAWA ROZLICZENIA ROBÓT</w:t>
        </w:r>
        <w:r w:rsidR="006202D5">
          <w:rPr>
            <w:noProof/>
            <w:webHidden/>
          </w:rPr>
          <w:tab/>
        </w:r>
        <w:r>
          <w:rPr>
            <w:noProof/>
            <w:webHidden/>
          </w:rPr>
          <w:fldChar w:fldCharType="begin"/>
        </w:r>
        <w:r w:rsidR="006202D5">
          <w:rPr>
            <w:noProof/>
            <w:webHidden/>
          </w:rPr>
          <w:instrText xml:space="preserve"> PAGEREF _Toc498463020 \h </w:instrText>
        </w:r>
        <w:r>
          <w:rPr>
            <w:noProof/>
            <w:webHidden/>
          </w:rPr>
        </w:r>
        <w:r>
          <w:rPr>
            <w:noProof/>
            <w:webHidden/>
          </w:rPr>
          <w:fldChar w:fldCharType="separate"/>
        </w:r>
        <w:r w:rsidR="00505061">
          <w:rPr>
            <w:noProof/>
            <w:webHidden/>
          </w:rPr>
          <w:t>13</w:t>
        </w:r>
        <w:r>
          <w:rPr>
            <w:noProof/>
            <w:webHidden/>
          </w:rPr>
          <w:fldChar w:fldCharType="end"/>
        </w:r>
      </w:hyperlink>
    </w:p>
    <w:p w:rsidR="006202D5" w:rsidRDefault="00432BA9">
      <w:pPr>
        <w:pStyle w:val="Spistreci2"/>
        <w:rPr>
          <w:rFonts w:eastAsiaTheme="minorEastAsia" w:cstheme="minorBidi"/>
          <w:smallCaps w:val="0"/>
          <w:sz w:val="22"/>
          <w:szCs w:val="22"/>
        </w:rPr>
      </w:pPr>
      <w:hyperlink w:anchor="_Toc498463021" w:history="1">
        <w:r w:rsidR="006202D5" w:rsidRPr="00916040">
          <w:rPr>
            <w:rStyle w:val="Hipercze"/>
            <w:rFonts w:eastAsia="Arial"/>
          </w:rPr>
          <w:t>9.1. Ogólne ustalenia dotyczące podstawy rozliczenia robót podano w ST „Wymagania ogólne” , pkt 9</w:t>
        </w:r>
        <w:r w:rsidR="006202D5">
          <w:rPr>
            <w:webHidden/>
          </w:rPr>
          <w:tab/>
        </w:r>
        <w:r>
          <w:rPr>
            <w:webHidden/>
          </w:rPr>
          <w:fldChar w:fldCharType="begin"/>
        </w:r>
        <w:r w:rsidR="006202D5">
          <w:rPr>
            <w:webHidden/>
          </w:rPr>
          <w:instrText xml:space="preserve"> PAGEREF _Toc498463021 \h </w:instrText>
        </w:r>
        <w:r>
          <w:rPr>
            <w:webHidden/>
          </w:rPr>
        </w:r>
        <w:r>
          <w:rPr>
            <w:webHidden/>
          </w:rPr>
          <w:fldChar w:fldCharType="separate"/>
        </w:r>
        <w:r w:rsidR="00505061">
          <w:rPr>
            <w:webHidden/>
          </w:rPr>
          <w:t>13</w:t>
        </w:r>
        <w:r>
          <w:rPr>
            <w:webHidden/>
          </w:rPr>
          <w:fldChar w:fldCharType="end"/>
        </w:r>
      </w:hyperlink>
    </w:p>
    <w:p w:rsidR="006202D5" w:rsidRDefault="00432BA9">
      <w:pPr>
        <w:pStyle w:val="Spistreci2"/>
        <w:rPr>
          <w:rFonts w:eastAsiaTheme="minorEastAsia" w:cstheme="minorBidi"/>
          <w:smallCaps w:val="0"/>
          <w:sz w:val="22"/>
          <w:szCs w:val="22"/>
        </w:rPr>
      </w:pPr>
      <w:hyperlink w:anchor="_Toc498463022" w:history="1">
        <w:r w:rsidR="006202D5" w:rsidRPr="00916040">
          <w:rPr>
            <w:rStyle w:val="Hipercze"/>
            <w:rFonts w:eastAsia="Arial"/>
          </w:rPr>
          <w:t>9.2. Zasady rozliczenia i płatności</w:t>
        </w:r>
        <w:r w:rsidR="006202D5">
          <w:rPr>
            <w:webHidden/>
          </w:rPr>
          <w:tab/>
        </w:r>
        <w:r>
          <w:rPr>
            <w:webHidden/>
          </w:rPr>
          <w:fldChar w:fldCharType="begin"/>
        </w:r>
        <w:r w:rsidR="006202D5">
          <w:rPr>
            <w:webHidden/>
          </w:rPr>
          <w:instrText xml:space="preserve"> PAGEREF _Toc498463022 \h </w:instrText>
        </w:r>
        <w:r>
          <w:rPr>
            <w:webHidden/>
          </w:rPr>
        </w:r>
        <w:r>
          <w:rPr>
            <w:webHidden/>
          </w:rPr>
          <w:fldChar w:fldCharType="separate"/>
        </w:r>
        <w:r w:rsidR="00505061">
          <w:rPr>
            <w:webHidden/>
          </w:rPr>
          <w:t>13</w:t>
        </w:r>
        <w:r>
          <w:rPr>
            <w:webHidden/>
          </w:rPr>
          <w:fldChar w:fldCharType="end"/>
        </w:r>
      </w:hyperlink>
    </w:p>
    <w:p w:rsidR="006202D5" w:rsidRDefault="00432BA9">
      <w:pPr>
        <w:pStyle w:val="Spistreci1"/>
        <w:rPr>
          <w:rFonts w:eastAsiaTheme="minorEastAsia" w:cstheme="minorBidi"/>
          <w:b w:val="0"/>
          <w:bCs w:val="0"/>
          <w:caps w:val="0"/>
          <w:noProof/>
          <w:sz w:val="22"/>
          <w:szCs w:val="22"/>
        </w:rPr>
      </w:pPr>
      <w:hyperlink w:anchor="_Toc498463023" w:history="1">
        <w:r w:rsidR="006202D5" w:rsidRPr="00916040">
          <w:rPr>
            <w:rStyle w:val="Hipercze"/>
            <w:noProof/>
          </w:rPr>
          <w:t>10.</w:t>
        </w:r>
        <w:r w:rsidR="006202D5">
          <w:rPr>
            <w:rFonts w:eastAsiaTheme="minorEastAsia" w:cstheme="minorBidi"/>
            <w:b w:val="0"/>
            <w:bCs w:val="0"/>
            <w:caps w:val="0"/>
            <w:noProof/>
            <w:sz w:val="22"/>
            <w:szCs w:val="22"/>
          </w:rPr>
          <w:tab/>
        </w:r>
        <w:r w:rsidR="006202D5" w:rsidRPr="00916040">
          <w:rPr>
            <w:rStyle w:val="Hipercze"/>
            <w:noProof/>
          </w:rPr>
          <w:t>DOKUMENTY ODNIESIENIA</w:t>
        </w:r>
        <w:r w:rsidR="006202D5">
          <w:rPr>
            <w:noProof/>
            <w:webHidden/>
          </w:rPr>
          <w:tab/>
        </w:r>
        <w:r>
          <w:rPr>
            <w:noProof/>
            <w:webHidden/>
          </w:rPr>
          <w:fldChar w:fldCharType="begin"/>
        </w:r>
        <w:r w:rsidR="006202D5">
          <w:rPr>
            <w:noProof/>
            <w:webHidden/>
          </w:rPr>
          <w:instrText xml:space="preserve"> PAGEREF _Toc498463023 \h </w:instrText>
        </w:r>
        <w:r>
          <w:rPr>
            <w:noProof/>
            <w:webHidden/>
          </w:rPr>
        </w:r>
        <w:r>
          <w:rPr>
            <w:noProof/>
            <w:webHidden/>
          </w:rPr>
          <w:fldChar w:fldCharType="separate"/>
        </w:r>
        <w:r w:rsidR="00505061">
          <w:rPr>
            <w:noProof/>
            <w:webHidden/>
          </w:rPr>
          <w:t>13</w:t>
        </w:r>
        <w:r>
          <w:rPr>
            <w:noProof/>
            <w:webHidden/>
          </w:rPr>
          <w:fldChar w:fldCharType="end"/>
        </w:r>
      </w:hyperlink>
    </w:p>
    <w:p w:rsidR="006202D5" w:rsidRDefault="00432BA9">
      <w:pPr>
        <w:pStyle w:val="Spistreci2"/>
        <w:rPr>
          <w:rFonts w:eastAsiaTheme="minorEastAsia" w:cstheme="minorBidi"/>
          <w:smallCaps w:val="0"/>
          <w:sz w:val="22"/>
          <w:szCs w:val="22"/>
        </w:rPr>
      </w:pPr>
      <w:hyperlink w:anchor="_Toc498463024" w:history="1">
        <w:r w:rsidR="006202D5" w:rsidRPr="00916040">
          <w:rPr>
            <w:rStyle w:val="Hipercze"/>
            <w:rFonts w:eastAsia="Arial"/>
          </w:rPr>
          <w:t>10.1. Normy</w:t>
        </w:r>
        <w:r w:rsidR="006202D5">
          <w:rPr>
            <w:webHidden/>
          </w:rPr>
          <w:tab/>
        </w:r>
        <w:r>
          <w:rPr>
            <w:webHidden/>
          </w:rPr>
          <w:fldChar w:fldCharType="begin"/>
        </w:r>
        <w:r w:rsidR="006202D5">
          <w:rPr>
            <w:webHidden/>
          </w:rPr>
          <w:instrText xml:space="preserve"> PAGEREF _Toc498463024 \h </w:instrText>
        </w:r>
        <w:r>
          <w:rPr>
            <w:webHidden/>
          </w:rPr>
        </w:r>
        <w:r>
          <w:rPr>
            <w:webHidden/>
          </w:rPr>
          <w:fldChar w:fldCharType="separate"/>
        </w:r>
        <w:r w:rsidR="00505061">
          <w:rPr>
            <w:webHidden/>
          </w:rPr>
          <w:t>13</w:t>
        </w:r>
        <w:r>
          <w:rPr>
            <w:webHidden/>
          </w:rPr>
          <w:fldChar w:fldCharType="end"/>
        </w:r>
      </w:hyperlink>
    </w:p>
    <w:p w:rsidR="006202D5" w:rsidRDefault="00432BA9">
      <w:pPr>
        <w:pStyle w:val="Spistreci2"/>
        <w:rPr>
          <w:rFonts w:eastAsiaTheme="minorEastAsia" w:cstheme="minorBidi"/>
          <w:smallCaps w:val="0"/>
          <w:sz w:val="22"/>
          <w:szCs w:val="22"/>
        </w:rPr>
      </w:pPr>
      <w:hyperlink w:anchor="_Toc498463025" w:history="1">
        <w:r w:rsidR="006202D5" w:rsidRPr="00916040">
          <w:rPr>
            <w:rStyle w:val="Hipercze"/>
            <w:rFonts w:eastAsia="Arial"/>
          </w:rPr>
          <w:t>10.2. Inne dokumenty, instrukcje i przepisy</w:t>
        </w:r>
        <w:r w:rsidR="006202D5">
          <w:rPr>
            <w:webHidden/>
          </w:rPr>
          <w:tab/>
        </w:r>
        <w:r>
          <w:rPr>
            <w:webHidden/>
          </w:rPr>
          <w:fldChar w:fldCharType="begin"/>
        </w:r>
        <w:r w:rsidR="006202D5">
          <w:rPr>
            <w:webHidden/>
          </w:rPr>
          <w:instrText xml:space="preserve"> PAGEREF _Toc498463025 \h </w:instrText>
        </w:r>
        <w:r>
          <w:rPr>
            <w:webHidden/>
          </w:rPr>
        </w:r>
        <w:r>
          <w:rPr>
            <w:webHidden/>
          </w:rPr>
          <w:fldChar w:fldCharType="separate"/>
        </w:r>
        <w:r w:rsidR="00505061">
          <w:rPr>
            <w:webHidden/>
          </w:rPr>
          <w:t>14</w:t>
        </w:r>
        <w:r>
          <w:rPr>
            <w:webHidden/>
          </w:rPr>
          <w:fldChar w:fldCharType="end"/>
        </w:r>
      </w:hyperlink>
    </w:p>
    <w:p w:rsidR="003F25AD" w:rsidRPr="008730B8" w:rsidRDefault="00432BA9" w:rsidP="001F7DAE">
      <w:pPr>
        <w:ind w:left="4140"/>
        <w:rPr>
          <w:rFonts w:cstheme="minorHAnsi"/>
          <w:szCs w:val="20"/>
        </w:rPr>
      </w:pPr>
      <w:r w:rsidRPr="00240E64">
        <w:fldChar w:fldCharType="end"/>
      </w:r>
    </w:p>
    <w:p w:rsidR="006A3BCD" w:rsidRPr="00B42197" w:rsidRDefault="006A3BCD" w:rsidP="001F7DAE"/>
    <w:p w:rsidR="006A3BCD" w:rsidRPr="008730B8" w:rsidRDefault="003F25AD" w:rsidP="001F7DAE">
      <w:pPr>
        <w:rPr>
          <w:rFonts w:cstheme="minorHAnsi"/>
          <w:szCs w:val="20"/>
        </w:rPr>
      </w:pPr>
      <w:r w:rsidRPr="008730B8">
        <w:rPr>
          <w:rFonts w:eastAsia="Arial" w:cstheme="minorHAnsi"/>
          <w:szCs w:val="20"/>
        </w:rPr>
        <w:t>Najważniejsze oznaczenia i skróty:</w:t>
      </w:r>
    </w:p>
    <w:p w:rsidR="006A3BCD" w:rsidRPr="008730B8" w:rsidRDefault="003F25AD" w:rsidP="001F7DAE">
      <w:pPr>
        <w:rPr>
          <w:rFonts w:cstheme="minorHAnsi"/>
          <w:szCs w:val="20"/>
        </w:rPr>
      </w:pPr>
      <w:r w:rsidRPr="008730B8">
        <w:rPr>
          <w:rFonts w:eastAsia="Arial" w:cstheme="minorHAnsi"/>
          <w:szCs w:val="20"/>
        </w:rPr>
        <w:t>ST – Specyfikacja Techniczna</w:t>
      </w:r>
    </w:p>
    <w:p w:rsidR="006A3BCD" w:rsidRPr="008730B8" w:rsidRDefault="003F25AD" w:rsidP="001F7DAE">
      <w:pPr>
        <w:rPr>
          <w:rFonts w:cstheme="minorHAnsi"/>
          <w:szCs w:val="20"/>
        </w:rPr>
      </w:pPr>
      <w:r w:rsidRPr="008730B8">
        <w:rPr>
          <w:rFonts w:eastAsia="Arial" w:cstheme="minorHAnsi"/>
          <w:szCs w:val="20"/>
        </w:rPr>
        <w:t>SST – Szczegółowa Specyfikacja Techniczna</w:t>
      </w:r>
    </w:p>
    <w:p w:rsidR="006A3BCD" w:rsidRPr="008730B8" w:rsidRDefault="003F25AD" w:rsidP="001F7DAE">
      <w:pPr>
        <w:rPr>
          <w:rFonts w:cstheme="minorHAnsi"/>
          <w:szCs w:val="20"/>
        </w:rPr>
      </w:pPr>
      <w:r w:rsidRPr="008730B8">
        <w:rPr>
          <w:rFonts w:eastAsia="Arial" w:cstheme="minorHAnsi"/>
          <w:szCs w:val="20"/>
        </w:rPr>
        <w:t>ITB – Instytut Techniki Budowlanej</w:t>
      </w:r>
    </w:p>
    <w:p w:rsidR="006A3BCD" w:rsidRPr="008730B8" w:rsidRDefault="003F25AD" w:rsidP="001F7DAE">
      <w:pPr>
        <w:rPr>
          <w:rFonts w:cstheme="minorHAnsi"/>
          <w:szCs w:val="20"/>
        </w:rPr>
      </w:pPr>
      <w:r w:rsidRPr="008730B8">
        <w:rPr>
          <w:rFonts w:eastAsia="Arial" w:cstheme="minorHAnsi"/>
          <w:szCs w:val="20"/>
        </w:rPr>
        <w:t>PZJ – Program Zabezpieczenia Jakości</w:t>
      </w:r>
    </w:p>
    <w:p w:rsidR="006A3BCD" w:rsidRPr="008730B8" w:rsidRDefault="003F25AD" w:rsidP="001F7DAE">
      <w:pPr>
        <w:rPr>
          <w:rFonts w:cstheme="minorHAnsi"/>
          <w:szCs w:val="20"/>
        </w:rPr>
      </w:pPr>
      <w:r w:rsidRPr="008730B8">
        <w:rPr>
          <w:rFonts w:eastAsia="Arial" w:cstheme="minorHAnsi"/>
          <w:szCs w:val="20"/>
        </w:rPr>
        <w:t>bhp – bezpieczeństwo i higiena pracy podczas wykonywania robót budowlanych</w:t>
      </w:r>
    </w:p>
    <w:p w:rsidR="006A3BCD" w:rsidRPr="000B76D8" w:rsidRDefault="003F25AD" w:rsidP="001F7DAE">
      <w:pPr>
        <w:rPr>
          <w:rFonts w:cstheme="minorHAnsi"/>
          <w:szCs w:val="20"/>
        </w:rPr>
      </w:pPr>
      <w:r w:rsidRPr="000B76D8">
        <w:rPr>
          <w:rFonts w:eastAsia="Arial" w:cstheme="minorHAnsi"/>
          <w:szCs w:val="20"/>
        </w:rPr>
        <w:t>Inwestor:</w:t>
      </w:r>
    </w:p>
    <w:p w:rsidR="003A70A7" w:rsidRPr="003A70A7" w:rsidRDefault="003A70A7" w:rsidP="003A70A7">
      <w:pPr>
        <w:pStyle w:val="Bezodstpw"/>
        <w:spacing w:line="100" w:lineRule="atLeast"/>
        <w:ind w:firstLine="284"/>
        <w:rPr>
          <w:rFonts w:eastAsia="Arial" w:cs="Arial"/>
          <w:color w:val="000000"/>
          <w:sz w:val="20"/>
          <w:szCs w:val="20"/>
        </w:rPr>
      </w:pPr>
      <w:r w:rsidRPr="003A70A7">
        <w:rPr>
          <w:rFonts w:eastAsia="Arial" w:cs="Arial"/>
          <w:color w:val="000000"/>
          <w:sz w:val="20"/>
          <w:szCs w:val="20"/>
        </w:rPr>
        <w:t xml:space="preserve">Centralny Szpital Kliniczny </w:t>
      </w:r>
      <w:proofErr w:type="spellStart"/>
      <w:r w:rsidRPr="003A70A7">
        <w:rPr>
          <w:rFonts w:eastAsia="Arial" w:cs="Arial"/>
          <w:color w:val="000000"/>
          <w:sz w:val="20"/>
          <w:szCs w:val="20"/>
        </w:rPr>
        <w:t>MSWiA</w:t>
      </w:r>
      <w:proofErr w:type="spellEnd"/>
      <w:r w:rsidRPr="003A70A7">
        <w:rPr>
          <w:rFonts w:eastAsia="Arial" w:cs="Arial"/>
          <w:color w:val="000000"/>
          <w:sz w:val="20"/>
          <w:szCs w:val="20"/>
        </w:rPr>
        <w:t xml:space="preserve"> w Warszawie</w:t>
      </w:r>
    </w:p>
    <w:p w:rsidR="003A70A7" w:rsidRPr="003A70A7" w:rsidRDefault="003A70A7" w:rsidP="003A70A7">
      <w:pPr>
        <w:autoSpaceDE w:val="0"/>
        <w:rPr>
          <w:rFonts w:ascii="Calibri" w:eastAsia="Arial" w:hAnsi="Calibri" w:cs="Arial"/>
          <w:color w:val="000000"/>
          <w:szCs w:val="20"/>
        </w:rPr>
      </w:pPr>
      <w:r>
        <w:rPr>
          <w:rFonts w:eastAsia="Arial" w:cs="Arial"/>
          <w:color w:val="000000"/>
          <w:szCs w:val="20"/>
        </w:rPr>
        <w:t xml:space="preserve"> </w:t>
      </w:r>
      <w:r w:rsidRPr="003A70A7">
        <w:rPr>
          <w:rFonts w:ascii="Calibri" w:eastAsia="Arial" w:hAnsi="Calibri" w:cs="Arial"/>
          <w:color w:val="000000"/>
          <w:szCs w:val="20"/>
        </w:rPr>
        <w:t>02-507 Warszawa, ul. Wołoska 137</w:t>
      </w:r>
    </w:p>
    <w:p w:rsidR="006A3BCD" w:rsidRPr="000B76D8" w:rsidRDefault="003A70A7" w:rsidP="00662A06">
      <w:pPr>
        <w:pStyle w:val="Bezodstpw"/>
        <w:spacing w:line="100" w:lineRule="atLeast"/>
        <w:rPr>
          <w:rFonts w:cstheme="minorHAnsi"/>
          <w:szCs w:val="20"/>
        </w:rPr>
      </w:pPr>
      <w:r w:rsidRPr="003A70A7">
        <w:rPr>
          <w:rFonts w:cs="Times New Roman"/>
          <w:sz w:val="20"/>
          <w:szCs w:val="20"/>
        </w:rPr>
        <w:t xml:space="preserve">      </w:t>
      </w:r>
      <w:r w:rsidRPr="003A70A7">
        <w:rPr>
          <w:sz w:val="20"/>
          <w:szCs w:val="20"/>
        </w:rPr>
        <w:t xml:space="preserve">          </w:t>
      </w:r>
      <w:r w:rsidRPr="003A70A7">
        <w:rPr>
          <w:color w:val="000000"/>
          <w:sz w:val="20"/>
          <w:szCs w:val="20"/>
        </w:rPr>
        <w:t xml:space="preserve"> </w:t>
      </w:r>
      <w:r w:rsidR="003F25AD" w:rsidRPr="000B76D8">
        <w:rPr>
          <w:rFonts w:eastAsia="Arial" w:cstheme="minorHAnsi"/>
          <w:szCs w:val="20"/>
        </w:rPr>
        <w:t>Lokalizacja:</w:t>
      </w:r>
    </w:p>
    <w:p w:rsidR="003A70A7" w:rsidRPr="003A70A7" w:rsidRDefault="003A70A7" w:rsidP="00662A06">
      <w:pPr>
        <w:pStyle w:val="Bezodstpw"/>
        <w:spacing w:line="100" w:lineRule="atLeast"/>
        <w:ind w:firstLine="284"/>
        <w:rPr>
          <w:rFonts w:eastAsia="Arial" w:cs="Arial"/>
          <w:color w:val="000000"/>
          <w:sz w:val="20"/>
          <w:szCs w:val="20"/>
        </w:rPr>
      </w:pPr>
      <w:r w:rsidRPr="003A70A7">
        <w:rPr>
          <w:rFonts w:eastAsia="Arial" w:cs="Arial"/>
          <w:color w:val="000000"/>
          <w:sz w:val="20"/>
          <w:szCs w:val="20"/>
        </w:rPr>
        <w:t xml:space="preserve">Centralny Szpital Kliniczny </w:t>
      </w:r>
      <w:proofErr w:type="spellStart"/>
      <w:r w:rsidRPr="003A70A7">
        <w:rPr>
          <w:rFonts w:eastAsia="Arial" w:cs="Arial"/>
          <w:color w:val="000000"/>
          <w:sz w:val="20"/>
          <w:szCs w:val="20"/>
        </w:rPr>
        <w:t>MSWiA</w:t>
      </w:r>
      <w:proofErr w:type="spellEnd"/>
      <w:r w:rsidRPr="003A70A7">
        <w:rPr>
          <w:rFonts w:eastAsia="Arial" w:cs="Arial"/>
          <w:color w:val="000000"/>
          <w:sz w:val="20"/>
          <w:szCs w:val="20"/>
        </w:rPr>
        <w:t xml:space="preserve"> w Warszawie</w:t>
      </w:r>
    </w:p>
    <w:p w:rsidR="003A70A7" w:rsidRPr="003A70A7" w:rsidRDefault="00662A06" w:rsidP="003A70A7">
      <w:pPr>
        <w:autoSpaceDE w:val="0"/>
        <w:rPr>
          <w:rFonts w:ascii="Calibri" w:eastAsia="Arial" w:hAnsi="Calibri" w:cs="Arial"/>
          <w:color w:val="000000"/>
          <w:szCs w:val="20"/>
        </w:rPr>
      </w:pPr>
      <w:r>
        <w:rPr>
          <w:rFonts w:eastAsia="Arial" w:cs="Arial"/>
          <w:color w:val="000000"/>
          <w:szCs w:val="20"/>
        </w:rPr>
        <w:t xml:space="preserve"> </w:t>
      </w:r>
      <w:r w:rsidR="003A70A7" w:rsidRPr="003A70A7">
        <w:rPr>
          <w:rFonts w:ascii="Calibri" w:eastAsia="Arial" w:hAnsi="Calibri" w:cs="Arial"/>
          <w:color w:val="000000"/>
          <w:szCs w:val="20"/>
        </w:rPr>
        <w:t>02-507 Warszawa, ul. Wołoska 137</w:t>
      </w:r>
    </w:p>
    <w:p w:rsidR="003A70A7" w:rsidRPr="003A70A7" w:rsidRDefault="003A70A7" w:rsidP="003A70A7">
      <w:pPr>
        <w:pStyle w:val="Bezodstpw"/>
        <w:spacing w:line="100" w:lineRule="atLeast"/>
        <w:rPr>
          <w:color w:val="000000"/>
          <w:sz w:val="20"/>
          <w:szCs w:val="20"/>
        </w:rPr>
      </w:pPr>
      <w:r w:rsidRPr="003A70A7">
        <w:rPr>
          <w:rFonts w:cs="Times New Roman"/>
          <w:sz w:val="20"/>
          <w:szCs w:val="20"/>
        </w:rPr>
        <w:t xml:space="preserve">      </w:t>
      </w:r>
      <w:r w:rsidRPr="003A70A7">
        <w:rPr>
          <w:sz w:val="20"/>
          <w:szCs w:val="20"/>
        </w:rPr>
        <w:t xml:space="preserve"> </w:t>
      </w:r>
      <w:r w:rsidRPr="003A70A7">
        <w:rPr>
          <w:color w:val="000000"/>
          <w:sz w:val="20"/>
          <w:szCs w:val="20"/>
        </w:rPr>
        <w:t xml:space="preserve">działki nr ew. 8/7,  8/9    </w:t>
      </w:r>
      <w:proofErr w:type="spellStart"/>
      <w:r w:rsidRPr="003A70A7">
        <w:rPr>
          <w:color w:val="000000"/>
          <w:sz w:val="20"/>
          <w:szCs w:val="20"/>
        </w:rPr>
        <w:t>obr</w:t>
      </w:r>
      <w:proofErr w:type="spellEnd"/>
      <w:r w:rsidRPr="003A70A7">
        <w:rPr>
          <w:color w:val="000000"/>
          <w:sz w:val="20"/>
          <w:szCs w:val="20"/>
        </w:rPr>
        <w:t>. 146505_8.0116</w:t>
      </w:r>
    </w:p>
    <w:p w:rsidR="006A3BCD" w:rsidRPr="008730B8" w:rsidRDefault="003F25AD" w:rsidP="001F7DAE">
      <w:pPr>
        <w:rPr>
          <w:rFonts w:cstheme="minorHAnsi"/>
          <w:szCs w:val="20"/>
        </w:rPr>
      </w:pPr>
      <w:r w:rsidRPr="000B76D8">
        <w:rPr>
          <w:rFonts w:eastAsia="Arial" w:cstheme="minorHAnsi"/>
          <w:szCs w:val="20"/>
        </w:rPr>
        <w:t>UWAGA:</w:t>
      </w:r>
    </w:p>
    <w:p w:rsidR="006A3BCD" w:rsidRPr="008730B8" w:rsidRDefault="003F25AD" w:rsidP="001F7DAE">
      <w:pPr>
        <w:ind w:right="80"/>
        <w:jc w:val="both"/>
        <w:rPr>
          <w:rFonts w:cstheme="minorHAnsi"/>
          <w:szCs w:val="20"/>
        </w:rPr>
      </w:pPr>
      <w:r w:rsidRPr="008730B8">
        <w:rPr>
          <w:rFonts w:eastAsia="Arial" w:cstheme="minorHAnsi"/>
          <w:szCs w:val="20"/>
        </w:rPr>
        <w:t>Wszelkie nazwy własne produktów i materiałów przywołane w Projekcie Wykonawczym i w SST służą ustaleniu pożądanego standardu wykonania i określenia właściwości i wymogów technicznych założonych w dokumentacji technicznej dla projektowanych rozwiązań. Dopuszcza się stosowanie rozwiązań w oparciu o produkty (wyroby) innych producentów pod warunkiem spełnienia tych samych właściwości technicznych oraz przedstawienia rozwiązań zamiennych na piśmie (dane techniczne, atesty, dopuszczenia do stosowania, uzyskanie akceptacji projektanta).</w:t>
      </w:r>
    </w:p>
    <w:p w:rsidR="003F25AD" w:rsidRDefault="003F25AD" w:rsidP="001F7DAE">
      <w:pPr>
        <w:rPr>
          <w:rFonts w:cstheme="minorHAnsi"/>
          <w:szCs w:val="20"/>
        </w:rPr>
      </w:pPr>
      <w:bookmarkStart w:id="3" w:name="page3"/>
      <w:bookmarkEnd w:id="3"/>
      <w:r>
        <w:rPr>
          <w:rFonts w:cstheme="minorHAnsi"/>
          <w:szCs w:val="20"/>
        </w:rPr>
        <w:br w:type="page"/>
      </w:r>
    </w:p>
    <w:p w:rsidR="00A915D3" w:rsidRPr="00557ED2" w:rsidRDefault="00A915D3" w:rsidP="001F7DAE">
      <w:pPr>
        <w:pStyle w:val="Nagwek1"/>
        <w:spacing w:before="120"/>
      </w:pPr>
      <w:bookmarkStart w:id="4" w:name="_Toc498462988"/>
      <w:r w:rsidRPr="00557ED2">
        <w:lastRenderedPageBreak/>
        <w:t>CZĘŚĆ OGÓLNA</w:t>
      </w:r>
      <w:bookmarkEnd w:id="4"/>
    </w:p>
    <w:p w:rsidR="00A915D3" w:rsidRPr="00557ED2" w:rsidRDefault="00A915D3" w:rsidP="001F7DAE">
      <w:pPr>
        <w:pStyle w:val="Nagwek2"/>
        <w:spacing w:before="120"/>
      </w:pPr>
      <w:bookmarkStart w:id="5" w:name="_Toc498462989"/>
      <w:r w:rsidRPr="00557ED2">
        <w:rPr>
          <w:rFonts w:eastAsia="Arial"/>
        </w:rPr>
        <w:t>1.1. Na</w:t>
      </w:r>
      <w:r w:rsidR="00362E54">
        <w:rPr>
          <w:rFonts w:eastAsia="Arial"/>
        </w:rPr>
        <w:t>z</w:t>
      </w:r>
      <w:r w:rsidRPr="00557ED2">
        <w:rPr>
          <w:rFonts w:eastAsia="Arial"/>
        </w:rPr>
        <w:t>wa nadana zamówieniu przez zamawiającego</w:t>
      </w:r>
      <w:bookmarkEnd w:id="5"/>
    </w:p>
    <w:p w:rsidR="00662A06" w:rsidRPr="00662A06" w:rsidRDefault="00662A06" w:rsidP="00662A06">
      <w:pPr>
        <w:pStyle w:val="Zawartotabeli"/>
        <w:snapToGrid w:val="0"/>
        <w:spacing w:line="100" w:lineRule="atLeast"/>
        <w:rPr>
          <w:rFonts w:ascii="Calibri" w:eastAsia="Arial" w:hAnsi="Calibri" w:cs="Arial"/>
          <w:color w:val="000000"/>
        </w:rPr>
      </w:pPr>
      <w:r w:rsidRPr="00662A06">
        <w:rPr>
          <w:rFonts w:ascii="Calibri" w:hAnsi="Calibri" w:cs="Arial"/>
        </w:rPr>
        <w:t>P</w:t>
      </w:r>
      <w:r w:rsidRPr="00662A06">
        <w:rPr>
          <w:rFonts w:ascii="Calibri" w:eastAsia="Arial" w:hAnsi="Calibri" w:cs="Arial"/>
          <w:color w:val="000000"/>
        </w:rPr>
        <w:t xml:space="preserve">rzebudowa pomieszczeń  IX piętra w budynku </w:t>
      </w:r>
      <w:r>
        <w:rPr>
          <w:rFonts w:asciiTheme="minorHAnsi" w:eastAsia="Arial" w:hAnsiTheme="minorHAnsi" w:cs="Arial"/>
          <w:color w:val="000000"/>
        </w:rPr>
        <w:t xml:space="preserve">Pawilonu Głównego </w:t>
      </w:r>
      <w:r w:rsidRPr="00662A06">
        <w:rPr>
          <w:rFonts w:ascii="Calibri" w:eastAsia="Arial" w:hAnsi="Calibri" w:cs="Arial"/>
          <w:color w:val="000000"/>
        </w:rPr>
        <w:t>w Central</w:t>
      </w:r>
      <w:r>
        <w:rPr>
          <w:rFonts w:asciiTheme="minorHAnsi" w:eastAsia="Arial" w:hAnsiTheme="minorHAnsi" w:cs="Arial"/>
          <w:color w:val="000000"/>
        </w:rPr>
        <w:t xml:space="preserve">nym Szpitalu Klinicznym </w:t>
      </w:r>
      <w:proofErr w:type="spellStart"/>
      <w:r>
        <w:rPr>
          <w:rFonts w:asciiTheme="minorHAnsi" w:eastAsia="Arial" w:hAnsiTheme="minorHAnsi" w:cs="Arial"/>
          <w:color w:val="000000"/>
        </w:rPr>
        <w:t>MSWiA</w:t>
      </w:r>
      <w:proofErr w:type="spellEnd"/>
      <w:r>
        <w:rPr>
          <w:rFonts w:asciiTheme="minorHAnsi" w:eastAsia="Arial" w:hAnsiTheme="minorHAnsi" w:cs="Arial"/>
          <w:color w:val="000000"/>
        </w:rPr>
        <w:t xml:space="preserve"> w </w:t>
      </w:r>
      <w:r w:rsidRPr="00662A06">
        <w:rPr>
          <w:rFonts w:ascii="Calibri" w:eastAsia="Arial" w:hAnsi="Calibri" w:cs="Arial"/>
          <w:color w:val="000000"/>
        </w:rPr>
        <w:t>Warszawie</w:t>
      </w:r>
      <w:r>
        <w:rPr>
          <w:rFonts w:asciiTheme="minorHAnsi" w:eastAsia="Arial" w:hAnsiTheme="minorHAnsi" w:cs="Arial"/>
          <w:color w:val="000000"/>
        </w:rPr>
        <w:t xml:space="preserve"> </w:t>
      </w:r>
      <w:r w:rsidRPr="00662A06">
        <w:rPr>
          <w:rFonts w:ascii="Calibri" w:eastAsia="Arial" w:hAnsi="Calibri" w:cs="Arial"/>
          <w:color w:val="000000"/>
        </w:rPr>
        <w:t xml:space="preserve">ETAP </w:t>
      </w:r>
      <w:r w:rsidR="00727DFA">
        <w:rPr>
          <w:rFonts w:ascii="Calibri" w:eastAsia="Arial" w:hAnsi="Calibri" w:cs="Arial"/>
          <w:color w:val="000000"/>
        </w:rPr>
        <w:t>I</w:t>
      </w:r>
      <w:r w:rsidRPr="00662A06">
        <w:rPr>
          <w:rFonts w:ascii="Calibri" w:eastAsia="Arial" w:hAnsi="Calibri" w:cs="Arial"/>
          <w:color w:val="000000"/>
        </w:rPr>
        <w:t xml:space="preserve">I  </w:t>
      </w:r>
      <w:r w:rsidR="00BA7E67">
        <w:rPr>
          <w:rFonts w:ascii="Arial" w:eastAsia="Arial" w:hAnsi="Arial" w:cs="Arial"/>
          <w:color w:val="000000"/>
          <w:sz w:val="22"/>
          <w:szCs w:val="22"/>
        </w:rPr>
        <w:t xml:space="preserve">- </w:t>
      </w:r>
      <w:proofErr w:type="spellStart"/>
      <w:r w:rsidR="00727DFA">
        <w:rPr>
          <w:rFonts w:asciiTheme="minorHAnsi" w:eastAsia="Arial" w:hAnsiTheme="minorHAnsi" w:cs="Arial"/>
          <w:color w:val="000000"/>
        </w:rPr>
        <w:t>Poddodział</w:t>
      </w:r>
      <w:proofErr w:type="spellEnd"/>
      <w:r w:rsidR="00727DFA">
        <w:rPr>
          <w:rFonts w:asciiTheme="minorHAnsi" w:eastAsia="Arial" w:hAnsiTheme="minorHAnsi" w:cs="Arial"/>
          <w:color w:val="000000"/>
        </w:rPr>
        <w:t xml:space="preserve"> Chorób Wewnętrznych</w:t>
      </w:r>
      <w:r w:rsidR="00BA7E67">
        <w:rPr>
          <w:rFonts w:asciiTheme="minorHAnsi" w:eastAsia="Arial" w:hAnsiTheme="minorHAnsi" w:cs="Arial"/>
          <w:color w:val="000000"/>
        </w:rPr>
        <w:t>– instalacje elektryczne</w:t>
      </w:r>
    </w:p>
    <w:p w:rsidR="00A915D3" w:rsidRPr="00557ED2" w:rsidRDefault="00A915D3" w:rsidP="001F7DAE">
      <w:pPr>
        <w:pStyle w:val="Nagwek2"/>
        <w:spacing w:before="120"/>
      </w:pPr>
      <w:bookmarkStart w:id="6" w:name="_Toc498462990"/>
      <w:r w:rsidRPr="00557ED2">
        <w:rPr>
          <w:rFonts w:eastAsia="Arial"/>
        </w:rPr>
        <w:t>1.2. Przedmiot SST-E 001</w:t>
      </w:r>
      <w:bookmarkEnd w:id="6"/>
    </w:p>
    <w:p w:rsidR="00A915D3" w:rsidRPr="00557ED2" w:rsidRDefault="00A915D3" w:rsidP="001F7DAE">
      <w:pPr>
        <w:ind w:right="80"/>
        <w:jc w:val="both"/>
        <w:rPr>
          <w:rFonts w:cstheme="minorHAnsi"/>
          <w:szCs w:val="20"/>
        </w:rPr>
      </w:pPr>
      <w:r w:rsidRPr="00557ED2">
        <w:rPr>
          <w:rFonts w:eastAsia="Arial" w:cstheme="minorHAnsi"/>
          <w:szCs w:val="20"/>
        </w:rPr>
        <w:t>Przedmiotem niniejszej specyfikacji technicznej (SST-E 001) są wymagania dotyczące wykonania i odbioru robót związanych z prefabrykacją i montażem rozdzielnic elektrycznych niskiego napięcia.</w:t>
      </w:r>
    </w:p>
    <w:p w:rsidR="00A915D3" w:rsidRPr="00557ED2" w:rsidRDefault="00A915D3" w:rsidP="001F7DAE">
      <w:pPr>
        <w:pStyle w:val="Nagwek2"/>
        <w:spacing w:before="120"/>
      </w:pPr>
      <w:bookmarkStart w:id="7" w:name="_Toc498462991"/>
      <w:r w:rsidRPr="00557ED2">
        <w:rPr>
          <w:rFonts w:eastAsia="Arial"/>
        </w:rPr>
        <w:t>1.3. Przedmiot i zakres robót objętych SST-E 001</w:t>
      </w:r>
      <w:bookmarkEnd w:id="7"/>
    </w:p>
    <w:p w:rsidR="00A915D3" w:rsidRPr="00557ED2" w:rsidRDefault="00A915D3" w:rsidP="001F7DAE">
      <w:pPr>
        <w:ind w:right="80"/>
        <w:jc w:val="both"/>
        <w:rPr>
          <w:rFonts w:cstheme="minorHAnsi"/>
          <w:szCs w:val="20"/>
        </w:rPr>
      </w:pPr>
      <w:r w:rsidRPr="00557ED2">
        <w:rPr>
          <w:rFonts w:eastAsia="Arial" w:cstheme="minorHAnsi"/>
          <w:szCs w:val="20"/>
        </w:rPr>
        <w:t>Ustalenia zawarte w niniejszej specyfikacji technicznej dotyczą zasad wykonywania robót związanych z prefabrykacją i montażem rozdzielnic elektrycznych dla obiektów kubaturowych oraz obiektów budownictwa inżynieryjnego. Specyfikacja dotyczy wszystkich czynności mających na celu wykonanie robót związanych z:</w:t>
      </w:r>
    </w:p>
    <w:p w:rsidR="00A915D3" w:rsidRPr="00557ED2" w:rsidRDefault="00A915D3" w:rsidP="001F7DAE">
      <w:pPr>
        <w:ind w:left="426" w:hanging="142"/>
        <w:rPr>
          <w:rFonts w:cstheme="minorHAnsi"/>
          <w:szCs w:val="20"/>
        </w:rPr>
      </w:pPr>
      <w:r w:rsidRPr="00557ED2">
        <w:rPr>
          <w:rFonts w:eastAsia="Arial" w:cstheme="minorHAnsi"/>
          <w:szCs w:val="20"/>
        </w:rPr>
        <w:t>–  kompletacją wszystkich materiałów i urządzeń potrzebnych do wykonania (prefabrykacji) rozdzielnicy,</w:t>
      </w:r>
    </w:p>
    <w:p w:rsidR="00A915D3" w:rsidRPr="00557ED2" w:rsidRDefault="00A915D3" w:rsidP="001F7DAE">
      <w:pPr>
        <w:ind w:left="426" w:right="80" w:hanging="142"/>
        <w:rPr>
          <w:rFonts w:cstheme="minorHAnsi"/>
          <w:szCs w:val="20"/>
        </w:rPr>
      </w:pPr>
      <w:r w:rsidRPr="00557ED2">
        <w:rPr>
          <w:rFonts w:eastAsia="Arial" w:cstheme="minorHAnsi"/>
          <w:szCs w:val="20"/>
        </w:rPr>
        <w:t>– wykonaniem wszelkich robót pomocniczych potrzebnych do przygotowania obudowy rozdzielnicy (w szczególności roboty ślusarsko-spawalnicze i malarskie) oraz montażu wyposażenia rozdzielnicy,</w:t>
      </w:r>
    </w:p>
    <w:p w:rsidR="00A915D3" w:rsidRPr="00557ED2" w:rsidRDefault="00A915D3" w:rsidP="001F7DAE">
      <w:pPr>
        <w:ind w:left="426" w:right="80" w:hanging="142"/>
        <w:rPr>
          <w:rFonts w:cstheme="minorHAnsi"/>
          <w:szCs w:val="20"/>
        </w:rPr>
      </w:pPr>
      <w:r w:rsidRPr="00557ED2">
        <w:rPr>
          <w:rFonts w:eastAsia="Arial" w:cstheme="minorHAnsi"/>
          <w:szCs w:val="20"/>
        </w:rPr>
        <w:t>– zamontowaniem wszystkich elementów, aparatów i urządzeń rozdzielnicy w sposób i w miejscu zgodnym z dokumentacją techniczną,</w:t>
      </w:r>
    </w:p>
    <w:p w:rsidR="00A915D3" w:rsidRPr="00557ED2" w:rsidRDefault="00A915D3" w:rsidP="001F7DAE">
      <w:pPr>
        <w:ind w:left="426" w:right="80" w:hanging="142"/>
        <w:rPr>
          <w:rFonts w:cstheme="minorHAnsi"/>
          <w:szCs w:val="20"/>
        </w:rPr>
      </w:pPr>
      <w:r w:rsidRPr="00557ED2">
        <w:rPr>
          <w:rFonts w:eastAsia="Arial" w:cstheme="minorHAnsi"/>
          <w:szCs w:val="20"/>
        </w:rPr>
        <w:t>– dokonaniem wszelkich połączeń instalacyjnych, szyn zbiorczych wewnętrznych przy użyciu materiałów oraz środków wg dokumentacji technicznej,</w:t>
      </w:r>
    </w:p>
    <w:p w:rsidR="00A915D3" w:rsidRPr="00557ED2" w:rsidRDefault="00A915D3" w:rsidP="001F7DAE">
      <w:pPr>
        <w:ind w:left="426" w:right="80" w:hanging="142"/>
        <w:rPr>
          <w:rFonts w:cstheme="minorHAnsi"/>
          <w:szCs w:val="20"/>
        </w:rPr>
      </w:pPr>
      <w:r w:rsidRPr="00557ED2">
        <w:rPr>
          <w:rFonts w:eastAsia="Arial" w:cstheme="minorHAnsi"/>
          <w:szCs w:val="20"/>
        </w:rPr>
        <w:t>– wykonaniem wewnętrznych połączeń ochronnych oraz połączeń ochronnych konstrukcji pomiędzy poszczególnymi segmentami rozdzielnicy oraz z szyną uziemiającą obiektu,</w:t>
      </w:r>
    </w:p>
    <w:p w:rsidR="00A915D3" w:rsidRPr="00557ED2" w:rsidRDefault="00A915D3" w:rsidP="001F7DAE">
      <w:pPr>
        <w:ind w:left="426" w:right="80" w:hanging="142"/>
        <w:rPr>
          <w:rFonts w:cstheme="minorHAnsi"/>
          <w:szCs w:val="20"/>
        </w:rPr>
      </w:pPr>
      <w:r w:rsidRPr="00557ED2">
        <w:rPr>
          <w:rFonts w:eastAsia="Arial" w:cstheme="minorHAnsi"/>
          <w:szCs w:val="20"/>
        </w:rPr>
        <w:t>– wykonaniem oznakowania zgodnego z dokumentacją techniczną wszystkich elementów rozdzielnicy zawartych w dokumentacji,</w:t>
      </w:r>
    </w:p>
    <w:p w:rsidR="00A915D3" w:rsidRPr="00557ED2" w:rsidRDefault="00A915D3" w:rsidP="001F7DAE">
      <w:pPr>
        <w:ind w:left="426" w:right="80" w:hanging="142"/>
        <w:rPr>
          <w:rFonts w:cstheme="minorHAnsi"/>
          <w:szCs w:val="20"/>
        </w:rPr>
      </w:pPr>
      <w:r w:rsidRPr="00557ED2">
        <w:rPr>
          <w:rFonts w:eastAsia="Arial" w:cstheme="minorHAnsi"/>
          <w:szCs w:val="20"/>
        </w:rPr>
        <w:t>– przeprowadzeniem wymaganych prób i badań oraz potwierdzenie protokołami kwalifikującymi prefabrykat do montażu, jako element instalacji elektrycznej,</w:t>
      </w:r>
    </w:p>
    <w:p w:rsidR="00A915D3" w:rsidRPr="00557ED2" w:rsidRDefault="00A915D3" w:rsidP="001F7DAE">
      <w:pPr>
        <w:ind w:left="426" w:hanging="142"/>
        <w:rPr>
          <w:rFonts w:cstheme="minorHAnsi"/>
          <w:szCs w:val="20"/>
        </w:rPr>
      </w:pPr>
      <w:r w:rsidRPr="00557ED2">
        <w:rPr>
          <w:rFonts w:eastAsia="Arial" w:cstheme="minorHAnsi"/>
          <w:szCs w:val="20"/>
        </w:rPr>
        <w:t>–  opakowaniem i przygotowaniem do transportu na miejsce zamontowania,</w:t>
      </w:r>
    </w:p>
    <w:p w:rsidR="00A915D3" w:rsidRPr="00557ED2" w:rsidRDefault="00A915D3" w:rsidP="001F7DAE">
      <w:pPr>
        <w:ind w:left="426" w:hanging="142"/>
        <w:rPr>
          <w:rFonts w:cstheme="minorHAnsi"/>
          <w:szCs w:val="20"/>
        </w:rPr>
      </w:pPr>
      <w:r w:rsidRPr="00557ED2">
        <w:rPr>
          <w:rFonts w:eastAsia="Arial" w:cstheme="minorHAnsi"/>
          <w:szCs w:val="20"/>
        </w:rPr>
        <w:t>–  montażem rozdzielnicy w miejscu określonym w dokumentacji technicznej,</w:t>
      </w:r>
    </w:p>
    <w:p w:rsidR="00A915D3" w:rsidRPr="00557ED2" w:rsidRDefault="00A915D3" w:rsidP="001F7DAE">
      <w:pPr>
        <w:ind w:left="426" w:right="80" w:hanging="142"/>
        <w:rPr>
          <w:rFonts w:cstheme="minorHAnsi"/>
          <w:szCs w:val="20"/>
        </w:rPr>
      </w:pPr>
      <w:r w:rsidRPr="00557ED2">
        <w:rPr>
          <w:rFonts w:eastAsia="Arial" w:cstheme="minorHAnsi"/>
          <w:szCs w:val="20"/>
        </w:rPr>
        <w:t>– przeprowadzeniem wymaganych prób, badań i pomiarów ze sporządzeniem protokołów kwalifikujących rozdzielnicę (prefabrykat) do eksploatacji.</w:t>
      </w:r>
    </w:p>
    <w:p w:rsidR="00A915D3" w:rsidRPr="00557ED2" w:rsidRDefault="00A915D3" w:rsidP="001F7DAE">
      <w:pPr>
        <w:pStyle w:val="Nagwek2"/>
        <w:spacing w:before="120"/>
      </w:pPr>
      <w:bookmarkStart w:id="8" w:name="_Toc498462992"/>
      <w:r w:rsidRPr="00557ED2">
        <w:rPr>
          <w:rFonts w:eastAsia="Arial"/>
        </w:rPr>
        <w:t>1.4. Określenia podstawowe, definicje</w:t>
      </w:r>
      <w:bookmarkEnd w:id="8"/>
    </w:p>
    <w:p w:rsidR="00A915D3" w:rsidRPr="00557ED2" w:rsidRDefault="00A915D3" w:rsidP="001F7DAE">
      <w:pPr>
        <w:ind w:right="80"/>
        <w:jc w:val="both"/>
        <w:rPr>
          <w:rFonts w:cstheme="minorHAnsi"/>
          <w:szCs w:val="20"/>
        </w:rPr>
      </w:pPr>
      <w:r w:rsidRPr="00557ED2">
        <w:rPr>
          <w:rFonts w:eastAsia="Arial" w:cstheme="minorHAnsi"/>
          <w:szCs w:val="20"/>
        </w:rPr>
        <w:t>Określenia podane w niniejszej specyfikacji technicznej są zgodne z odpowiednimi normami oraz określeniami podanymi w ST „Wymagania ogólne”, a także podanymi poniżej:</w:t>
      </w:r>
    </w:p>
    <w:p w:rsidR="00A915D3" w:rsidRPr="00557ED2" w:rsidRDefault="00A915D3" w:rsidP="001F7DAE">
      <w:pPr>
        <w:ind w:right="80"/>
        <w:jc w:val="both"/>
        <w:rPr>
          <w:rFonts w:cstheme="minorHAnsi"/>
          <w:szCs w:val="20"/>
        </w:rPr>
      </w:pPr>
      <w:r w:rsidRPr="00557ED2">
        <w:rPr>
          <w:rFonts w:eastAsia="Arial" w:cstheme="minorHAnsi"/>
          <w:szCs w:val="20"/>
        </w:rPr>
        <w:t>Rozdzielnica elektryczna (tablica) – zespół aparatury odpowiednio dobranej i połączonej w bloki funkcjonalne (pola), służący do zasilania, zabezpieczania urządzeń elektrycznych przed skutkami zwarć i przeciążeń, realizacji wyznaczonych zadań danego pola oraz kontroli linii i obwodów instalacji elektrycznej. Aparatura, stanowiąca wraz z obudową (obudowami) rozdzielnicę, w zależności od potrzeb może spełniać następujące funkcje: zmiany napięcia instalacji, łączeniowe, rozdzielcze, zabezpieczania, pomiarowo-kontrolne, sygnalizacyjne i alarmowe.</w:t>
      </w:r>
    </w:p>
    <w:p w:rsidR="00A915D3" w:rsidRPr="00557ED2" w:rsidRDefault="00A915D3" w:rsidP="001F7DAE">
      <w:pPr>
        <w:ind w:right="80"/>
        <w:jc w:val="both"/>
        <w:rPr>
          <w:rFonts w:cstheme="minorHAnsi"/>
          <w:szCs w:val="20"/>
        </w:rPr>
      </w:pPr>
      <w:r w:rsidRPr="00557ED2">
        <w:rPr>
          <w:rFonts w:eastAsia="Arial" w:cstheme="minorHAnsi"/>
          <w:szCs w:val="20"/>
        </w:rPr>
        <w:t>Klasa ochronności – umowne oznaczenie, określające możliwości ochronne urządzenia, ze względu na jego cechy budowy, przy bezpośrednim dotyku.</w:t>
      </w:r>
    </w:p>
    <w:p w:rsidR="00A915D3" w:rsidRPr="00557ED2" w:rsidRDefault="00A915D3" w:rsidP="001F7DAE">
      <w:pPr>
        <w:ind w:right="80"/>
        <w:jc w:val="both"/>
        <w:rPr>
          <w:rFonts w:cstheme="minorHAnsi"/>
          <w:szCs w:val="20"/>
        </w:rPr>
      </w:pPr>
      <w:r w:rsidRPr="00557ED2">
        <w:rPr>
          <w:rFonts w:eastAsia="Arial" w:cstheme="minorHAnsi"/>
          <w:szCs w:val="20"/>
        </w:rPr>
        <w:t>Stopień ochrony obudowy IP – określona w PN-EN 60529:2003, umowna miara ochrony przed dotykiem elementów wyposażenia rozdzielnicy oraz przed przedostaniem się ciał stałych, wnikaniem cieczy (szczególnie wody) i gazów, a którą zapewnia odpowiednia obudowa.</w:t>
      </w:r>
    </w:p>
    <w:p w:rsidR="00A915D3" w:rsidRPr="00557ED2" w:rsidRDefault="00A915D3" w:rsidP="001F7DAE">
      <w:pPr>
        <w:ind w:right="80"/>
        <w:jc w:val="both"/>
        <w:rPr>
          <w:rFonts w:cstheme="minorHAnsi"/>
          <w:szCs w:val="20"/>
        </w:rPr>
      </w:pPr>
      <w:r w:rsidRPr="00557ED2">
        <w:rPr>
          <w:rFonts w:eastAsia="Arial" w:cstheme="minorHAnsi"/>
          <w:szCs w:val="20"/>
        </w:rPr>
        <w:t>Wyposażenie rozdzielnicy elektrycznej – zespół aparatury i systemów połączeń wewnętrznych potrzebnych do realizacji wszelkich celów wyznaczonych danej rozdzielnicy.</w:t>
      </w:r>
    </w:p>
    <w:p w:rsidR="00A915D3" w:rsidRPr="00557ED2" w:rsidRDefault="00A915D3" w:rsidP="001F7DAE">
      <w:pPr>
        <w:ind w:right="80"/>
        <w:jc w:val="both"/>
        <w:rPr>
          <w:rFonts w:cstheme="minorHAnsi"/>
          <w:szCs w:val="20"/>
        </w:rPr>
      </w:pPr>
      <w:r w:rsidRPr="00557ED2">
        <w:rPr>
          <w:rFonts w:eastAsia="Arial" w:cstheme="minorHAnsi"/>
          <w:szCs w:val="20"/>
        </w:rPr>
        <w:t xml:space="preserve">Obwód elektryczny (instalacji elektrycznej) – zespół elementów połączonych pośrednio lub bezpośrednio ze źródłem energii elektrycznej za pomocą chronionego przed przetężeniem wspólnym zabezpieczeniem kompletu odpowiednio połączonych przewodów elektrycznych. Obejmuje przewody czynne, przewody </w:t>
      </w:r>
      <w:r w:rsidRPr="00557ED2">
        <w:rPr>
          <w:rFonts w:eastAsia="Arial" w:cstheme="minorHAnsi"/>
          <w:szCs w:val="20"/>
        </w:rPr>
        <w:lastRenderedPageBreak/>
        <w:t>ochronne (jeżeli są), urządzenia ochronne i przyłączoną aparaturę łączeniową, sterowniczą i akcesoria. Przewód ochronny może być wspólny dla różnych obwodów.</w:t>
      </w:r>
    </w:p>
    <w:p w:rsidR="00A915D3" w:rsidRPr="00557ED2" w:rsidRDefault="00A915D3" w:rsidP="001F7DAE">
      <w:pPr>
        <w:ind w:right="80"/>
        <w:jc w:val="both"/>
        <w:rPr>
          <w:rFonts w:cstheme="minorHAnsi"/>
          <w:szCs w:val="20"/>
        </w:rPr>
      </w:pPr>
      <w:bookmarkStart w:id="9" w:name="page4"/>
      <w:bookmarkEnd w:id="9"/>
      <w:r w:rsidRPr="00557ED2">
        <w:rPr>
          <w:rFonts w:eastAsia="Arial" w:cstheme="minorHAnsi"/>
          <w:szCs w:val="20"/>
        </w:rPr>
        <w:t>Deklaracja zgodności – oświadczenie producenta lub jego upoważnionego przedstawiciela stwierdzające, na jego wyłączną odpowiedzialność, że wyrób budowlany jest zgodny ze zharmonizowaną specyfikacją techniczną, a w przypadku braku takiej z Polską Normą wyrobu, niemającą statusu normy wycofanej lub aprobatą techniczną.</w:t>
      </w:r>
    </w:p>
    <w:p w:rsidR="00A915D3" w:rsidRPr="00557ED2" w:rsidRDefault="00A915D3" w:rsidP="001F7DAE">
      <w:pPr>
        <w:pStyle w:val="Nagwek2"/>
        <w:spacing w:before="120"/>
      </w:pPr>
      <w:bookmarkStart w:id="10" w:name="_Toc498462993"/>
      <w:r w:rsidRPr="00557ED2">
        <w:rPr>
          <w:rFonts w:eastAsia="Arial"/>
        </w:rPr>
        <w:t>1.5. Ogólne wymagania dotyczące robót</w:t>
      </w:r>
      <w:bookmarkEnd w:id="10"/>
    </w:p>
    <w:p w:rsidR="00A915D3" w:rsidRPr="00557ED2" w:rsidRDefault="00A915D3" w:rsidP="001F7DAE">
      <w:pPr>
        <w:ind w:right="80"/>
        <w:jc w:val="both"/>
        <w:rPr>
          <w:rFonts w:cstheme="minorHAnsi"/>
          <w:szCs w:val="20"/>
        </w:rPr>
      </w:pPr>
      <w:r w:rsidRPr="00557ED2">
        <w:rPr>
          <w:rFonts w:eastAsia="Arial" w:cstheme="minorHAnsi"/>
          <w:szCs w:val="20"/>
        </w:rPr>
        <w:t>Wykonawca robót jest odpowiedzialny za jakość ich wykonania oraz za zgodność z dokumentacją projektową, specyfikacjami technicznymi i poleceniami Inspektora nadzoru. Ogólne wymagania dotyczące robót podano w ST „Wymagania ogólne”, pkt 1.5.</w:t>
      </w:r>
    </w:p>
    <w:p w:rsidR="00A915D3" w:rsidRPr="00557ED2" w:rsidRDefault="00A915D3" w:rsidP="00915EBC">
      <w:pPr>
        <w:pStyle w:val="Nagwek2"/>
      </w:pPr>
      <w:bookmarkStart w:id="11" w:name="_Toc498462994"/>
      <w:r w:rsidRPr="00557ED2">
        <w:rPr>
          <w:rFonts w:eastAsia="Arial"/>
        </w:rPr>
        <w:t>1.6. Dokumentacja robót montażowych i prefabrykacyjnych</w:t>
      </w:r>
      <w:bookmarkEnd w:id="11"/>
    </w:p>
    <w:p w:rsidR="00A915D3" w:rsidRPr="00557ED2" w:rsidRDefault="00A915D3" w:rsidP="001F7DAE">
      <w:pPr>
        <w:ind w:firstLine="0"/>
        <w:rPr>
          <w:rFonts w:cstheme="minorHAnsi"/>
          <w:szCs w:val="20"/>
        </w:rPr>
      </w:pPr>
      <w:r w:rsidRPr="00557ED2">
        <w:rPr>
          <w:rFonts w:eastAsia="Arial" w:cstheme="minorHAnsi"/>
          <w:szCs w:val="20"/>
        </w:rPr>
        <w:t>Dokumentację robót montażowych i prefabrykacyjnych stanowią:</w:t>
      </w:r>
    </w:p>
    <w:p w:rsidR="00A915D3" w:rsidRPr="00557ED2" w:rsidRDefault="00A915D3" w:rsidP="001F7DAE">
      <w:pPr>
        <w:ind w:left="300" w:right="80" w:firstLine="0"/>
        <w:rPr>
          <w:rFonts w:cstheme="minorHAnsi"/>
          <w:szCs w:val="20"/>
        </w:rPr>
      </w:pPr>
      <w:r w:rsidRPr="00557ED2">
        <w:rPr>
          <w:rFonts w:eastAsia="Arial" w:cstheme="minorHAnsi"/>
          <w:szCs w:val="20"/>
        </w:rPr>
        <w:t>– projekt wykonawczy w zakresie wynikającym z rozporządzenia Ministra Infrastruktury z 02.09.2004 r. w sprawie szczegółowego zakresu i formy dokumentacji projektowej, specyfikacji technicznych wykonania i odbioru robót budowlanych oraz programu funkcjonalno-użytkowego (Dz. U. z 2004 r. Nr 202, poz. 2072, zmiana Dz. U. z 2005 r. Nr 75, poz. 664),</w:t>
      </w:r>
    </w:p>
    <w:p w:rsidR="00A915D3" w:rsidRPr="00557ED2" w:rsidRDefault="00A915D3" w:rsidP="001F7DAE">
      <w:pPr>
        <w:ind w:left="300" w:right="80" w:firstLine="0"/>
        <w:rPr>
          <w:rFonts w:cstheme="minorHAnsi"/>
          <w:szCs w:val="20"/>
        </w:rPr>
      </w:pPr>
      <w:r w:rsidRPr="00557ED2">
        <w:rPr>
          <w:rFonts w:eastAsia="Arial" w:cstheme="minorHAnsi"/>
          <w:szCs w:val="20"/>
        </w:rPr>
        <w:t>– specyfikacje techniczne wykonania i odbioru robót (obligatoryjne w przypadku zamówień publicznych), sporządzone zgodnie z rozporządzeniem Ministra Infrastruktury z dnia 02.09.2004 r. w sprawie szczegółowego zakresu i formy dokumentacji projektowej, specyfikacji technicznych wykonania i odbioru robót budowlanych,</w:t>
      </w:r>
    </w:p>
    <w:p w:rsidR="00A915D3" w:rsidRPr="00557ED2" w:rsidRDefault="00A915D3" w:rsidP="001F7DAE">
      <w:pPr>
        <w:ind w:left="300" w:right="80" w:firstLine="0"/>
        <w:rPr>
          <w:rFonts w:cstheme="minorHAnsi"/>
          <w:szCs w:val="20"/>
        </w:rPr>
      </w:pPr>
      <w:r w:rsidRPr="00557ED2">
        <w:rPr>
          <w:rFonts w:eastAsia="Arial" w:cstheme="minorHAnsi"/>
          <w:szCs w:val="20"/>
        </w:rPr>
        <w:t>– dokumenty świadczące o dopuszczeniu do obrotu i powszechnego lub jednostkowego zastosowania użytych wyrobów budowlanych, zgodnie z ustawą z 16 kwietnia 2004 r. o wyrobach budowlanych (Dz. U. z 2004 r. Nr 92, poz. 881), karty techniczne wyrobów lub zalecenia producentów dotyczące stosowania wyrobów,</w:t>
      </w:r>
    </w:p>
    <w:p w:rsidR="00A915D3" w:rsidRPr="00557ED2" w:rsidRDefault="00A915D3" w:rsidP="001F7DAE">
      <w:pPr>
        <w:ind w:left="300" w:right="80" w:firstLine="0"/>
        <w:rPr>
          <w:rFonts w:cstheme="minorHAnsi"/>
          <w:szCs w:val="20"/>
        </w:rPr>
      </w:pPr>
      <w:r w:rsidRPr="00557ED2">
        <w:rPr>
          <w:rFonts w:eastAsia="Arial" w:cstheme="minorHAnsi"/>
          <w:szCs w:val="20"/>
        </w:rPr>
        <w:t>– protokoły odbiorów częściowych, końcowych oraz robót zanikających i ulegających zakryciu z załączonymi protokołami z badań kontrolnych,</w:t>
      </w:r>
    </w:p>
    <w:p w:rsidR="00A915D3" w:rsidRPr="00557ED2" w:rsidRDefault="00A915D3" w:rsidP="001F7DAE">
      <w:pPr>
        <w:ind w:left="300" w:right="80" w:firstLine="0"/>
        <w:rPr>
          <w:rFonts w:cstheme="minorHAnsi"/>
          <w:szCs w:val="20"/>
        </w:rPr>
      </w:pPr>
      <w:r w:rsidRPr="00557ED2">
        <w:rPr>
          <w:rFonts w:eastAsia="Arial" w:cstheme="minorHAnsi"/>
          <w:szCs w:val="20"/>
        </w:rPr>
        <w:t>– dokumentacja powykonawcza (zgodnie z art. 3, pkt 14 ustawy Prawo budowlane z dnia 7 lipca 1994 r. – Dz. U. z 2003 r. Nr 207, poz. 2016 z późniejszymi zmianami).</w:t>
      </w:r>
    </w:p>
    <w:p w:rsidR="00A915D3" w:rsidRPr="00557ED2" w:rsidRDefault="00A915D3" w:rsidP="001F7DAE">
      <w:pPr>
        <w:ind w:right="80"/>
        <w:jc w:val="both"/>
        <w:rPr>
          <w:rFonts w:cstheme="minorHAnsi"/>
          <w:szCs w:val="20"/>
        </w:rPr>
      </w:pPr>
      <w:r w:rsidRPr="00557ED2">
        <w:rPr>
          <w:rFonts w:eastAsia="Arial" w:cstheme="minorHAnsi"/>
          <w:szCs w:val="20"/>
        </w:rPr>
        <w:t>Prefabrykację i montaż rozdzielnic należy wykonywać na podstawie dokumentacji projektowej i szczegółowej specyfikacji technicznej wykonania i odbioru robót montażowych i prefabrykacji, opracowanych dla konkretnego przedmiotu zamówienia.</w:t>
      </w:r>
    </w:p>
    <w:p w:rsidR="00A915D3" w:rsidRPr="00A915D3" w:rsidRDefault="00A915D3" w:rsidP="001F7DAE">
      <w:pPr>
        <w:pStyle w:val="Nagwek2"/>
        <w:spacing w:before="120"/>
      </w:pPr>
      <w:bookmarkStart w:id="12" w:name="_Toc498462995"/>
      <w:r w:rsidRPr="00A915D3">
        <w:t>1.7. Nazwy i kody:</w:t>
      </w:r>
      <w:bookmarkEnd w:id="12"/>
    </w:p>
    <w:p w:rsidR="00A915D3" w:rsidRPr="00557ED2" w:rsidRDefault="00A915D3" w:rsidP="001F7DAE">
      <w:r w:rsidRPr="00557ED2">
        <w:rPr>
          <w:rFonts w:eastAsia="Arial"/>
        </w:rPr>
        <w:t>Grupy robót, klasy robót lub kategorie robót</w:t>
      </w:r>
    </w:p>
    <w:p w:rsidR="00A915D3" w:rsidRPr="00557ED2" w:rsidRDefault="00A915D3" w:rsidP="001F7DAE">
      <w:pPr>
        <w:ind w:firstLine="0"/>
        <w:rPr>
          <w:rFonts w:cstheme="minorHAnsi"/>
          <w:szCs w:val="20"/>
        </w:rPr>
      </w:pPr>
    </w:p>
    <w:tbl>
      <w:tblPr>
        <w:tblW w:w="0" w:type="auto"/>
        <w:tblInd w:w="10" w:type="dxa"/>
        <w:tblLayout w:type="fixed"/>
        <w:tblCellMar>
          <w:left w:w="0" w:type="dxa"/>
          <w:right w:w="0" w:type="dxa"/>
        </w:tblCellMar>
        <w:tblLook w:val="04A0"/>
      </w:tblPr>
      <w:tblGrid>
        <w:gridCol w:w="460"/>
        <w:gridCol w:w="180"/>
        <w:gridCol w:w="440"/>
        <w:gridCol w:w="180"/>
        <w:gridCol w:w="440"/>
        <w:gridCol w:w="180"/>
        <w:gridCol w:w="440"/>
        <w:gridCol w:w="200"/>
        <w:gridCol w:w="420"/>
        <w:gridCol w:w="200"/>
        <w:gridCol w:w="420"/>
        <w:gridCol w:w="200"/>
        <w:gridCol w:w="420"/>
        <w:gridCol w:w="200"/>
        <w:gridCol w:w="420"/>
        <w:gridCol w:w="440"/>
        <w:gridCol w:w="440"/>
        <w:gridCol w:w="180"/>
        <w:gridCol w:w="1500"/>
      </w:tblGrid>
      <w:tr w:rsidR="00A915D3" w:rsidRPr="00557ED2" w:rsidTr="00A915D3">
        <w:trPr>
          <w:trHeight w:val="343"/>
        </w:trPr>
        <w:tc>
          <w:tcPr>
            <w:tcW w:w="460" w:type="dxa"/>
            <w:tcBorders>
              <w:top w:val="single" w:sz="8" w:space="0" w:color="auto"/>
              <w:left w:val="single" w:sz="8" w:space="0" w:color="auto"/>
              <w:right w:val="single" w:sz="8" w:space="0" w:color="auto"/>
            </w:tcBorders>
            <w:vAlign w:val="bottom"/>
          </w:tcPr>
          <w:p w:rsidR="00A915D3" w:rsidRPr="00557ED2" w:rsidRDefault="00A915D3" w:rsidP="001F7DAE">
            <w:pPr>
              <w:ind w:right="160" w:firstLine="0"/>
              <w:jc w:val="right"/>
              <w:rPr>
                <w:rFonts w:cstheme="minorHAnsi"/>
                <w:szCs w:val="20"/>
              </w:rPr>
            </w:pPr>
            <w:r w:rsidRPr="00557ED2">
              <w:rPr>
                <w:rFonts w:eastAsia="Arial" w:cstheme="minorHAnsi"/>
                <w:szCs w:val="20"/>
              </w:rPr>
              <w:t>4</w:t>
            </w:r>
          </w:p>
        </w:tc>
        <w:tc>
          <w:tcPr>
            <w:tcW w:w="180" w:type="dxa"/>
            <w:tcBorders>
              <w:right w:val="single" w:sz="8" w:space="0" w:color="auto"/>
            </w:tcBorders>
            <w:vAlign w:val="bottom"/>
          </w:tcPr>
          <w:p w:rsidR="00A915D3" w:rsidRPr="00557ED2" w:rsidRDefault="00A915D3" w:rsidP="001F7DAE">
            <w:pPr>
              <w:ind w:firstLine="0"/>
              <w:rPr>
                <w:rFonts w:cstheme="minorHAnsi"/>
                <w:szCs w:val="20"/>
              </w:rPr>
            </w:pPr>
          </w:p>
        </w:tc>
        <w:tc>
          <w:tcPr>
            <w:tcW w:w="440" w:type="dxa"/>
            <w:tcBorders>
              <w:top w:val="single" w:sz="8" w:space="0" w:color="auto"/>
              <w:right w:val="single" w:sz="8" w:space="0" w:color="auto"/>
            </w:tcBorders>
            <w:vAlign w:val="bottom"/>
          </w:tcPr>
          <w:p w:rsidR="00A915D3" w:rsidRPr="00557ED2" w:rsidRDefault="00A915D3" w:rsidP="001F7DAE">
            <w:pPr>
              <w:ind w:right="160" w:firstLine="0"/>
              <w:jc w:val="right"/>
              <w:rPr>
                <w:rFonts w:cstheme="minorHAnsi"/>
                <w:szCs w:val="20"/>
              </w:rPr>
            </w:pPr>
            <w:r w:rsidRPr="00557ED2">
              <w:rPr>
                <w:rFonts w:eastAsia="Arial" w:cstheme="minorHAnsi"/>
                <w:szCs w:val="20"/>
              </w:rPr>
              <w:t>5</w:t>
            </w:r>
          </w:p>
        </w:tc>
        <w:tc>
          <w:tcPr>
            <w:tcW w:w="180" w:type="dxa"/>
            <w:tcBorders>
              <w:right w:val="single" w:sz="8" w:space="0" w:color="auto"/>
            </w:tcBorders>
            <w:vAlign w:val="bottom"/>
          </w:tcPr>
          <w:p w:rsidR="00A915D3" w:rsidRPr="00557ED2" w:rsidRDefault="00A915D3" w:rsidP="001F7DAE">
            <w:pPr>
              <w:ind w:firstLine="0"/>
              <w:rPr>
                <w:rFonts w:cstheme="minorHAnsi"/>
                <w:szCs w:val="20"/>
              </w:rPr>
            </w:pPr>
          </w:p>
        </w:tc>
        <w:tc>
          <w:tcPr>
            <w:tcW w:w="440" w:type="dxa"/>
            <w:tcBorders>
              <w:top w:val="single" w:sz="8" w:space="0" w:color="auto"/>
              <w:right w:val="single" w:sz="8" w:space="0" w:color="auto"/>
            </w:tcBorders>
            <w:vAlign w:val="bottom"/>
          </w:tcPr>
          <w:p w:rsidR="00A915D3" w:rsidRPr="00557ED2" w:rsidRDefault="00A915D3" w:rsidP="001F7DAE">
            <w:pPr>
              <w:ind w:right="160" w:firstLine="0"/>
              <w:jc w:val="right"/>
              <w:rPr>
                <w:rFonts w:cstheme="minorHAnsi"/>
                <w:szCs w:val="20"/>
              </w:rPr>
            </w:pPr>
            <w:r w:rsidRPr="00557ED2">
              <w:rPr>
                <w:rFonts w:eastAsia="Arial" w:cstheme="minorHAnsi"/>
                <w:szCs w:val="20"/>
              </w:rPr>
              <w:t>3</w:t>
            </w:r>
          </w:p>
        </w:tc>
        <w:tc>
          <w:tcPr>
            <w:tcW w:w="180" w:type="dxa"/>
            <w:tcBorders>
              <w:right w:val="single" w:sz="8" w:space="0" w:color="auto"/>
            </w:tcBorders>
            <w:vAlign w:val="bottom"/>
          </w:tcPr>
          <w:p w:rsidR="00A915D3" w:rsidRPr="00557ED2" w:rsidRDefault="00A915D3" w:rsidP="001F7DAE">
            <w:pPr>
              <w:ind w:firstLine="0"/>
              <w:rPr>
                <w:rFonts w:cstheme="minorHAnsi"/>
                <w:szCs w:val="20"/>
              </w:rPr>
            </w:pPr>
          </w:p>
        </w:tc>
        <w:tc>
          <w:tcPr>
            <w:tcW w:w="440" w:type="dxa"/>
            <w:tcBorders>
              <w:top w:val="single" w:sz="8" w:space="0" w:color="auto"/>
              <w:right w:val="single" w:sz="8" w:space="0" w:color="auto"/>
            </w:tcBorders>
            <w:vAlign w:val="bottom"/>
          </w:tcPr>
          <w:p w:rsidR="00A915D3" w:rsidRPr="00557ED2" w:rsidRDefault="00A915D3" w:rsidP="001F7DAE">
            <w:pPr>
              <w:ind w:right="160" w:firstLine="0"/>
              <w:jc w:val="right"/>
              <w:rPr>
                <w:rFonts w:cstheme="minorHAnsi"/>
                <w:szCs w:val="20"/>
              </w:rPr>
            </w:pPr>
            <w:r w:rsidRPr="00557ED2">
              <w:rPr>
                <w:rFonts w:eastAsia="Arial" w:cstheme="minorHAnsi"/>
                <w:szCs w:val="20"/>
              </w:rPr>
              <w:t>1</w:t>
            </w:r>
          </w:p>
        </w:tc>
        <w:tc>
          <w:tcPr>
            <w:tcW w:w="200" w:type="dxa"/>
            <w:tcBorders>
              <w:right w:val="single" w:sz="8" w:space="0" w:color="auto"/>
            </w:tcBorders>
            <w:vAlign w:val="bottom"/>
          </w:tcPr>
          <w:p w:rsidR="00A915D3" w:rsidRPr="00557ED2" w:rsidRDefault="00A915D3" w:rsidP="001F7DAE">
            <w:pPr>
              <w:ind w:firstLine="0"/>
              <w:rPr>
                <w:rFonts w:cstheme="minorHAnsi"/>
                <w:szCs w:val="20"/>
              </w:rPr>
            </w:pPr>
          </w:p>
        </w:tc>
        <w:tc>
          <w:tcPr>
            <w:tcW w:w="420" w:type="dxa"/>
            <w:tcBorders>
              <w:top w:val="single" w:sz="8" w:space="0" w:color="auto"/>
              <w:right w:val="single" w:sz="8" w:space="0" w:color="auto"/>
            </w:tcBorders>
            <w:vAlign w:val="bottom"/>
          </w:tcPr>
          <w:p w:rsidR="00A915D3" w:rsidRPr="00557ED2" w:rsidRDefault="00A915D3" w:rsidP="001F7DAE">
            <w:pPr>
              <w:ind w:right="160" w:firstLine="0"/>
              <w:jc w:val="right"/>
              <w:rPr>
                <w:rFonts w:cstheme="minorHAnsi"/>
                <w:szCs w:val="20"/>
              </w:rPr>
            </w:pPr>
            <w:r w:rsidRPr="00557ED2">
              <w:rPr>
                <w:rFonts w:eastAsia="Arial" w:cstheme="minorHAnsi"/>
                <w:szCs w:val="20"/>
              </w:rPr>
              <w:t>5</w:t>
            </w:r>
          </w:p>
        </w:tc>
        <w:tc>
          <w:tcPr>
            <w:tcW w:w="200" w:type="dxa"/>
            <w:tcBorders>
              <w:right w:val="single" w:sz="8" w:space="0" w:color="auto"/>
            </w:tcBorders>
            <w:vAlign w:val="bottom"/>
          </w:tcPr>
          <w:p w:rsidR="00A915D3" w:rsidRPr="00557ED2" w:rsidRDefault="00A915D3" w:rsidP="001F7DAE">
            <w:pPr>
              <w:ind w:firstLine="0"/>
              <w:rPr>
                <w:rFonts w:cstheme="minorHAnsi"/>
                <w:szCs w:val="20"/>
              </w:rPr>
            </w:pPr>
          </w:p>
        </w:tc>
        <w:tc>
          <w:tcPr>
            <w:tcW w:w="420" w:type="dxa"/>
            <w:tcBorders>
              <w:top w:val="single" w:sz="8" w:space="0" w:color="auto"/>
              <w:right w:val="single" w:sz="8" w:space="0" w:color="auto"/>
            </w:tcBorders>
            <w:vAlign w:val="bottom"/>
          </w:tcPr>
          <w:p w:rsidR="00A915D3" w:rsidRPr="00557ED2" w:rsidRDefault="00A915D3" w:rsidP="001F7DAE">
            <w:pPr>
              <w:ind w:right="160" w:firstLine="0"/>
              <w:jc w:val="right"/>
              <w:rPr>
                <w:rFonts w:cstheme="minorHAnsi"/>
                <w:szCs w:val="20"/>
              </w:rPr>
            </w:pPr>
            <w:r w:rsidRPr="00557ED2">
              <w:rPr>
                <w:rFonts w:eastAsia="Arial" w:cstheme="minorHAnsi"/>
                <w:szCs w:val="20"/>
              </w:rPr>
              <w:t>7</w:t>
            </w:r>
          </w:p>
        </w:tc>
        <w:tc>
          <w:tcPr>
            <w:tcW w:w="200" w:type="dxa"/>
            <w:tcBorders>
              <w:right w:val="single" w:sz="8" w:space="0" w:color="auto"/>
            </w:tcBorders>
            <w:vAlign w:val="bottom"/>
          </w:tcPr>
          <w:p w:rsidR="00A915D3" w:rsidRPr="00557ED2" w:rsidRDefault="00A915D3" w:rsidP="001F7DAE">
            <w:pPr>
              <w:ind w:firstLine="0"/>
              <w:rPr>
                <w:rFonts w:cstheme="minorHAnsi"/>
                <w:szCs w:val="20"/>
              </w:rPr>
            </w:pPr>
          </w:p>
        </w:tc>
        <w:tc>
          <w:tcPr>
            <w:tcW w:w="420" w:type="dxa"/>
            <w:tcBorders>
              <w:top w:val="single" w:sz="8" w:space="0" w:color="auto"/>
              <w:right w:val="single" w:sz="8" w:space="0" w:color="auto"/>
            </w:tcBorders>
            <w:vAlign w:val="bottom"/>
          </w:tcPr>
          <w:p w:rsidR="00A915D3" w:rsidRPr="00557ED2" w:rsidRDefault="00A915D3" w:rsidP="001F7DAE">
            <w:pPr>
              <w:ind w:right="160" w:firstLine="0"/>
              <w:jc w:val="right"/>
              <w:rPr>
                <w:rFonts w:cstheme="minorHAnsi"/>
                <w:szCs w:val="20"/>
              </w:rPr>
            </w:pPr>
            <w:r w:rsidRPr="00557ED2">
              <w:rPr>
                <w:rFonts w:eastAsia="Arial" w:cstheme="minorHAnsi"/>
                <w:szCs w:val="20"/>
              </w:rPr>
              <w:t>0</w:t>
            </w:r>
          </w:p>
        </w:tc>
        <w:tc>
          <w:tcPr>
            <w:tcW w:w="200" w:type="dxa"/>
            <w:tcBorders>
              <w:right w:val="single" w:sz="8" w:space="0" w:color="auto"/>
            </w:tcBorders>
            <w:vAlign w:val="bottom"/>
          </w:tcPr>
          <w:p w:rsidR="00A915D3" w:rsidRPr="00557ED2" w:rsidRDefault="00A915D3" w:rsidP="001F7DAE">
            <w:pPr>
              <w:ind w:firstLine="0"/>
              <w:rPr>
                <w:rFonts w:cstheme="minorHAnsi"/>
                <w:szCs w:val="20"/>
              </w:rPr>
            </w:pPr>
          </w:p>
        </w:tc>
        <w:tc>
          <w:tcPr>
            <w:tcW w:w="420" w:type="dxa"/>
            <w:tcBorders>
              <w:top w:val="single" w:sz="8" w:space="0" w:color="auto"/>
              <w:right w:val="single" w:sz="8" w:space="0" w:color="auto"/>
            </w:tcBorders>
            <w:vAlign w:val="bottom"/>
          </w:tcPr>
          <w:p w:rsidR="00A915D3" w:rsidRPr="00557ED2" w:rsidRDefault="00A915D3" w:rsidP="001F7DAE">
            <w:pPr>
              <w:ind w:right="160" w:firstLine="0"/>
              <w:jc w:val="right"/>
              <w:rPr>
                <w:rFonts w:cstheme="minorHAnsi"/>
                <w:szCs w:val="20"/>
              </w:rPr>
            </w:pPr>
            <w:r w:rsidRPr="00557ED2">
              <w:rPr>
                <w:rFonts w:eastAsia="Arial" w:cstheme="minorHAnsi"/>
                <w:szCs w:val="20"/>
              </w:rPr>
              <w:t>0</w:t>
            </w:r>
          </w:p>
        </w:tc>
        <w:tc>
          <w:tcPr>
            <w:tcW w:w="440" w:type="dxa"/>
            <w:tcBorders>
              <w:right w:val="single" w:sz="8" w:space="0" w:color="auto"/>
            </w:tcBorders>
            <w:vAlign w:val="bottom"/>
          </w:tcPr>
          <w:p w:rsidR="00A915D3" w:rsidRPr="00557ED2" w:rsidRDefault="00A915D3" w:rsidP="001F7DAE">
            <w:pPr>
              <w:ind w:right="200" w:firstLine="0"/>
              <w:jc w:val="right"/>
              <w:rPr>
                <w:rFonts w:cstheme="minorHAnsi"/>
                <w:szCs w:val="20"/>
              </w:rPr>
            </w:pPr>
            <w:r w:rsidRPr="00557ED2">
              <w:rPr>
                <w:rFonts w:eastAsia="Arial" w:cstheme="minorHAnsi"/>
                <w:szCs w:val="20"/>
              </w:rPr>
              <w:t>-</w:t>
            </w:r>
          </w:p>
        </w:tc>
        <w:tc>
          <w:tcPr>
            <w:tcW w:w="440" w:type="dxa"/>
            <w:tcBorders>
              <w:top w:val="single" w:sz="8" w:space="0" w:color="auto"/>
              <w:right w:val="single" w:sz="8" w:space="0" w:color="auto"/>
            </w:tcBorders>
            <w:vAlign w:val="bottom"/>
          </w:tcPr>
          <w:p w:rsidR="00A915D3" w:rsidRPr="00557ED2" w:rsidRDefault="00A915D3" w:rsidP="001F7DAE">
            <w:pPr>
              <w:ind w:right="160" w:firstLine="0"/>
              <w:jc w:val="right"/>
              <w:rPr>
                <w:rFonts w:cstheme="minorHAnsi"/>
                <w:szCs w:val="20"/>
              </w:rPr>
            </w:pPr>
            <w:r w:rsidRPr="00557ED2">
              <w:rPr>
                <w:rFonts w:eastAsia="Arial" w:cstheme="minorHAnsi"/>
                <w:szCs w:val="20"/>
              </w:rPr>
              <w:t>5</w:t>
            </w:r>
          </w:p>
        </w:tc>
        <w:tc>
          <w:tcPr>
            <w:tcW w:w="180" w:type="dxa"/>
            <w:vAlign w:val="bottom"/>
          </w:tcPr>
          <w:p w:rsidR="00A915D3" w:rsidRPr="00557ED2" w:rsidRDefault="00A915D3" w:rsidP="001F7DAE">
            <w:pPr>
              <w:ind w:firstLine="0"/>
              <w:rPr>
                <w:rFonts w:cstheme="minorHAnsi"/>
                <w:szCs w:val="20"/>
              </w:rPr>
            </w:pPr>
          </w:p>
        </w:tc>
        <w:tc>
          <w:tcPr>
            <w:tcW w:w="1500" w:type="dxa"/>
            <w:vAlign w:val="bottom"/>
          </w:tcPr>
          <w:p w:rsidR="00A915D3" w:rsidRPr="00557ED2" w:rsidRDefault="00A915D3" w:rsidP="001F7DAE">
            <w:pPr>
              <w:ind w:left="60" w:firstLine="0"/>
              <w:rPr>
                <w:rFonts w:cstheme="minorHAnsi"/>
                <w:szCs w:val="20"/>
              </w:rPr>
            </w:pPr>
            <w:r w:rsidRPr="00557ED2">
              <w:rPr>
                <w:rFonts w:eastAsia="Arial" w:cstheme="minorHAnsi"/>
                <w:szCs w:val="20"/>
              </w:rPr>
              <w:t>Instalowanie</w:t>
            </w:r>
          </w:p>
        </w:tc>
      </w:tr>
      <w:tr w:rsidR="00A915D3" w:rsidRPr="00557ED2" w:rsidTr="00A915D3">
        <w:trPr>
          <w:trHeight w:val="221"/>
        </w:trPr>
        <w:tc>
          <w:tcPr>
            <w:tcW w:w="460" w:type="dxa"/>
            <w:tcBorders>
              <w:left w:val="single" w:sz="8" w:space="0" w:color="auto"/>
              <w:right w:val="single" w:sz="8" w:space="0" w:color="auto"/>
            </w:tcBorders>
            <w:vAlign w:val="bottom"/>
          </w:tcPr>
          <w:p w:rsidR="00A915D3" w:rsidRPr="00557ED2" w:rsidRDefault="00A915D3" w:rsidP="001F7DAE">
            <w:pPr>
              <w:ind w:firstLine="0"/>
              <w:rPr>
                <w:rFonts w:cstheme="minorHAnsi"/>
                <w:szCs w:val="20"/>
              </w:rPr>
            </w:pPr>
          </w:p>
        </w:tc>
        <w:tc>
          <w:tcPr>
            <w:tcW w:w="180" w:type="dxa"/>
            <w:tcBorders>
              <w:right w:val="single" w:sz="8" w:space="0" w:color="auto"/>
            </w:tcBorders>
            <w:vAlign w:val="bottom"/>
          </w:tcPr>
          <w:p w:rsidR="00A915D3" w:rsidRPr="00557ED2" w:rsidRDefault="00A915D3" w:rsidP="001F7DAE">
            <w:pPr>
              <w:ind w:firstLine="0"/>
              <w:rPr>
                <w:rFonts w:cstheme="minorHAnsi"/>
                <w:szCs w:val="20"/>
              </w:rPr>
            </w:pPr>
          </w:p>
        </w:tc>
        <w:tc>
          <w:tcPr>
            <w:tcW w:w="440" w:type="dxa"/>
            <w:tcBorders>
              <w:right w:val="single" w:sz="8" w:space="0" w:color="auto"/>
            </w:tcBorders>
            <w:vAlign w:val="bottom"/>
          </w:tcPr>
          <w:p w:rsidR="00A915D3" w:rsidRPr="00557ED2" w:rsidRDefault="00A915D3" w:rsidP="001F7DAE">
            <w:pPr>
              <w:ind w:firstLine="0"/>
              <w:rPr>
                <w:rFonts w:cstheme="minorHAnsi"/>
                <w:szCs w:val="20"/>
              </w:rPr>
            </w:pPr>
          </w:p>
        </w:tc>
        <w:tc>
          <w:tcPr>
            <w:tcW w:w="180" w:type="dxa"/>
            <w:tcBorders>
              <w:right w:val="single" w:sz="8" w:space="0" w:color="auto"/>
            </w:tcBorders>
            <w:vAlign w:val="bottom"/>
          </w:tcPr>
          <w:p w:rsidR="00A915D3" w:rsidRPr="00557ED2" w:rsidRDefault="00A915D3" w:rsidP="001F7DAE">
            <w:pPr>
              <w:ind w:firstLine="0"/>
              <w:rPr>
                <w:rFonts w:cstheme="minorHAnsi"/>
                <w:szCs w:val="20"/>
              </w:rPr>
            </w:pPr>
          </w:p>
        </w:tc>
        <w:tc>
          <w:tcPr>
            <w:tcW w:w="440" w:type="dxa"/>
            <w:tcBorders>
              <w:right w:val="single" w:sz="8" w:space="0" w:color="auto"/>
            </w:tcBorders>
            <w:vAlign w:val="bottom"/>
          </w:tcPr>
          <w:p w:rsidR="00A915D3" w:rsidRPr="00557ED2" w:rsidRDefault="00A915D3" w:rsidP="001F7DAE">
            <w:pPr>
              <w:ind w:firstLine="0"/>
              <w:rPr>
                <w:rFonts w:cstheme="minorHAnsi"/>
                <w:szCs w:val="20"/>
              </w:rPr>
            </w:pPr>
          </w:p>
        </w:tc>
        <w:tc>
          <w:tcPr>
            <w:tcW w:w="180" w:type="dxa"/>
            <w:tcBorders>
              <w:right w:val="single" w:sz="8" w:space="0" w:color="auto"/>
            </w:tcBorders>
            <w:vAlign w:val="bottom"/>
          </w:tcPr>
          <w:p w:rsidR="00A915D3" w:rsidRPr="00557ED2" w:rsidRDefault="00A915D3" w:rsidP="001F7DAE">
            <w:pPr>
              <w:ind w:firstLine="0"/>
              <w:rPr>
                <w:rFonts w:cstheme="minorHAnsi"/>
                <w:szCs w:val="20"/>
              </w:rPr>
            </w:pPr>
          </w:p>
        </w:tc>
        <w:tc>
          <w:tcPr>
            <w:tcW w:w="440" w:type="dxa"/>
            <w:tcBorders>
              <w:right w:val="single" w:sz="8" w:space="0" w:color="auto"/>
            </w:tcBorders>
            <w:vAlign w:val="bottom"/>
          </w:tcPr>
          <w:p w:rsidR="00A915D3" w:rsidRPr="00557ED2" w:rsidRDefault="00A915D3" w:rsidP="001F7DAE">
            <w:pPr>
              <w:ind w:firstLine="0"/>
              <w:rPr>
                <w:rFonts w:cstheme="minorHAnsi"/>
                <w:szCs w:val="20"/>
              </w:rPr>
            </w:pPr>
          </w:p>
        </w:tc>
        <w:tc>
          <w:tcPr>
            <w:tcW w:w="200" w:type="dxa"/>
            <w:tcBorders>
              <w:right w:val="single" w:sz="8" w:space="0" w:color="auto"/>
            </w:tcBorders>
            <w:vAlign w:val="bottom"/>
          </w:tcPr>
          <w:p w:rsidR="00A915D3" w:rsidRPr="00557ED2" w:rsidRDefault="00A915D3" w:rsidP="001F7DAE">
            <w:pPr>
              <w:ind w:firstLine="0"/>
              <w:rPr>
                <w:rFonts w:cstheme="minorHAnsi"/>
                <w:szCs w:val="20"/>
              </w:rPr>
            </w:pPr>
          </w:p>
        </w:tc>
        <w:tc>
          <w:tcPr>
            <w:tcW w:w="420" w:type="dxa"/>
            <w:tcBorders>
              <w:right w:val="single" w:sz="8" w:space="0" w:color="auto"/>
            </w:tcBorders>
            <w:vAlign w:val="bottom"/>
          </w:tcPr>
          <w:p w:rsidR="00A915D3" w:rsidRPr="00557ED2" w:rsidRDefault="00A915D3" w:rsidP="001F7DAE">
            <w:pPr>
              <w:ind w:firstLine="0"/>
              <w:rPr>
                <w:rFonts w:cstheme="minorHAnsi"/>
                <w:szCs w:val="20"/>
              </w:rPr>
            </w:pPr>
          </w:p>
        </w:tc>
        <w:tc>
          <w:tcPr>
            <w:tcW w:w="200" w:type="dxa"/>
            <w:tcBorders>
              <w:right w:val="single" w:sz="8" w:space="0" w:color="auto"/>
            </w:tcBorders>
            <w:vAlign w:val="bottom"/>
          </w:tcPr>
          <w:p w:rsidR="00A915D3" w:rsidRPr="00557ED2" w:rsidRDefault="00A915D3" w:rsidP="001F7DAE">
            <w:pPr>
              <w:ind w:firstLine="0"/>
              <w:rPr>
                <w:rFonts w:cstheme="minorHAnsi"/>
                <w:szCs w:val="20"/>
              </w:rPr>
            </w:pPr>
          </w:p>
        </w:tc>
        <w:tc>
          <w:tcPr>
            <w:tcW w:w="420" w:type="dxa"/>
            <w:tcBorders>
              <w:right w:val="single" w:sz="8" w:space="0" w:color="auto"/>
            </w:tcBorders>
            <w:vAlign w:val="bottom"/>
          </w:tcPr>
          <w:p w:rsidR="00A915D3" w:rsidRPr="00557ED2" w:rsidRDefault="00A915D3" w:rsidP="001F7DAE">
            <w:pPr>
              <w:ind w:firstLine="0"/>
              <w:rPr>
                <w:rFonts w:cstheme="minorHAnsi"/>
                <w:szCs w:val="20"/>
              </w:rPr>
            </w:pPr>
          </w:p>
        </w:tc>
        <w:tc>
          <w:tcPr>
            <w:tcW w:w="200" w:type="dxa"/>
            <w:tcBorders>
              <w:right w:val="single" w:sz="8" w:space="0" w:color="auto"/>
            </w:tcBorders>
            <w:vAlign w:val="bottom"/>
          </w:tcPr>
          <w:p w:rsidR="00A915D3" w:rsidRPr="00557ED2" w:rsidRDefault="00A915D3" w:rsidP="001F7DAE">
            <w:pPr>
              <w:ind w:firstLine="0"/>
              <w:rPr>
                <w:rFonts w:cstheme="minorHAnsi"/>
                <w:szCs w:val="20"/>
              </w:rPr>
            </w:pPr>
          </w:p>
        </w:tc>
        <w:tc>
          <w:tcPr>
            <w:tcW w:w="420" w:type="dxa"/>
            <w:tcBorders>
              <w:right w:val="single" w:sz="8" w:space="0" w:color="auto"/>
            </w:tcBorders>
            <w:vAlign w:val="bottom"/>
          </w:tcPr>
          <w:p w:rsidR="00A915D3" w:rsidRPr="00557ED2" w:rsidRDefault="00A915D3" w:rsidP="001F7DAE">
            <w:pPr>
              <w:ind w:firstLine="0"/>
              <w:rPr>
                <w:rFonts w:cstheme="minorHAnsi"/>
                <w:szCs w:val="20"/>
              </w:rPr>
            </w:pPr>
          </w:p>
        </w:tc>
        <w:tc>
          <w:tcPr>
            <w:tcW w:w="200" w:type="dxa"/>
            <w:tcBorders>
              <w:right w:val="single" w:sz="8" w:space="0" w:color="auto"/>
            </w:tcBorders>
            <w:vAlign w:val="bottom"/>
          </w:tcPr>
          <w:p w:rsidR="00A915D3" w:rsidRPr="00557ED2" w:rsidRDefault="00A915D3" w:rsidP="001F7DAE">
            <w:pPr>
              <w:ind w:firstLine="0"/>
              <w:rPr>
                <w:rFonts w:cstheme="minorHAnsi"/>
                <w:szCs w:val="20"/>
              </w:rPr>
            </w:pPr>
          </w:p>
        </w:tc>
        <w:tc>
          <w:tcPr>
            <w:tcW w:w="420" w:type="dxa"/>
            <w:tcBorders>
              <w:right w:val="single" w:sz="8" w:space="0" w:color="auto"/>
            </w:tcBorders>
            <w:vAlign w:val="bottom"/>
          </w:tcPr>
          <w:p w:rsidR="00A915D3" w:rsidRPr="00557ED2" w:rsidRDefault="00A915D3" w:rsidP="001F7DAE">
            <w:pPr>
              <w:ind w:firstLine="0"/>
              <w:rPr>
                <w:rFonts w:cstheme="minorHAnsi"/>
                <w:szCs w:val="20"/>
              </w:rPr>
            </w:pPr>
          </w:p>
        </w:tc>
        <w:tc>
          <w:tcPr>
            <w:tcW w:w="440" w:type="dxa"/>
            <w:tcBorders>
              <w:right w:val="single" w:sz="8" w:space="0" w:color="auto"/>
            </w:tcBorders>
            <w:vAlign w:val="bottom"/>
          </w:tcPr>
          <w:p w:rsidR="00A915D3" w:rsidRPr="00557ED2" w:rsidRDefault="00A915D3" w:rsidP="001F7DAE">
            <w:pPr>
              <w:ind w:firstLine="0"/>
              <w:rPr>
                <w:rFonts w:cstheme="minorHAnsi"/>
                <w:szCs w:val="20"/>
              </w:rPr>
            </w:pPr>
          </w:p>
        </w:tc>
        <w:tc>
          <w:tcPr>
            <w:tcW w:w="440" w:type="dxa"/>
            <w:tcBorders>
              <w:right w:val="single" w:sz="8" w:space="0" w:color="auto"/>
            </w:tcBorders>
            <w:vAlign w:val="bottom"/>
          </w:tcPr>
          <w:p w:rsidR="00A915D3" w:rsidRPr="00557ED2" w:rsidRDefault="00A915D3" w:rsidP="001F7DAE">
            <w:pPr>
              <w:ind w:firstLine="0"/>
              <w:rPr>
                <w:rFonts w:cstheme="minorHAnsi"/>
                <w:szCs w:val="20"/>
              </w:rPr>
            </w:pPr>
          </w:p>
        </w:tc>
        <w:tc>
          <w:tcPr>
            <w:tcW w:w="180" w:type="dxa"/>
            <w:vAlign w:val="bottom"/>
          </w:tcPr>
          <w:p w:rsidR="00A915D3" w:rsidRPr="00557ED2" w:rsidRDefault="00A915D3" w:rsidP="001F7DAE">
            <w:pPr>
              <w:ind w:firstLine="0"/>
              <w:rPr>
                <w:rFonts w:cstheme="minorHAnsi"/>
                <w:szCs w:val="20"/>
              </w:rPr>
            </w:pPr>
          </w:p>
        </w:tc>
        <w:tc>
          <w:tcPr>
            <w:tcW w:w="1500" w:type="dxa"/>
            <w:vAlign w:val="bottom"/>
          </w:tcPr>
          <w:p w:rsidR="00A915D3" w:rsidRPr="00557ED2" w:rsidRDefault="00A915D3" w:rsidP="001F7DAE">
            <w:pPr>
              <w:ind w:left="60" w:firstLine="0"/>
              <w:rPr>
                <w:rFonts w:cstheme="minorHAnsi"/>
                <w:szCs w:val="20"/>
              </w:rPr>
            </w:pPr>
            <w:r w:rsidRPr="00557ED2">
              <w:rPr>
                <w:rFonts w:eastAsia="Arial" w:cstheme="minorHAnsi"/>
                <w:szCs w:val="20"/>
              </w:rPr>
              <w:t>stacji</w:t>
            </w:r>
          </w:p>
        </w:tc>
      </w:tr>
      <w:tr w:rsidR="00A915D3" w:rsidRPr="00557ED2" w:rsidTr="00A915D3">
        <w:trPr>
          <w:trHeight w:val="221"/>
        </w:trPr>
        <w:tc>
          <w:tcPr>
            <w:tcW w:w="460" w:type="dxa"/>
            <w:tcBorders>
              <w:left w:val="single" w:sz="8" w:space="0" w:color="auto"/>
              <w:right w:val="single" w:sz="8" w:space="0" w:color="auto"/>
            </w:tcBorders>
            <w:vAlign w:val="bottom"/>
          </w:tcPr>
          <w:p w:rsidR="00A915D3" w:rsidRPr="00557ED2" w:rsidRDefault="00A915D3" w:rsidP="001F7DAE">
            <w:pPr>
              <w:ind w:firstLine="0"/>
              <w:rPr>
                <w:rFonts w:cstheme="minorHAnsi"/>
                <w:szCs w:val="20"/>
              </w:rPr>
            </w:pPr>
          </w:p>
        </w:tc>
        <w:tc>
          <w:tcPr>
            <w:tcW w:w="180" w:type="dxa"/>
            <w:tcBorders>
              <w:right w:val="single" w:sz="8" w:space="0" w:color="auto"/>
            </w:tcBorders>
            <w:vAlign w:val="bottom"/>
          </w:tcPr>
          <w:p w:rsidR="00A915D3" w:rsidRPr="00557ED2" w:rsidRDefault="00A915D3" w:rsidP="001F7DAE">
            <w:pPr>
              <w:ind w:firstLine="0"/>
              <w:rPr>
                <w:rFonts w:cstheme="minorHAnsi"/>
                <w:szCs w:val="20"/>
              </w:rPr>
            </w:pPr>
          </w:p>
        </w:tc>
        <w:tc>
          <w:tcPr>
            <w:tcW w:w="440" w:type="dxa"/>
            <w:tcBorders>
              <w:right w:val="single" w:sz="8" w:space="0" w:color="auto"/>
            </w:tcBorders>
            <w:vAlign w:val="bottom"/>
          </w:tcPr>
          <w:p w:rsidR="00A915D3" w:rsidRPr="00557ED2" w:rsidRDefault="00A915D3" w:rsidP="001F7DAE">
            <w:pPr>
              <w:ind w:firstLine="0"/>
              <w:rPr>
                <w:rFonts w:cstheme="minorHAnsi"/>
                <w:szCs w:val="20"/>
              </w:rPr>
            </w:pPr>
          </w:p>
        </w:tc>
        <w:tc>
          <w:tcPr>
            <w:tcW w:w="180" w:type="dxa"/>
            <w:tcBorders>
              <w:right w:val="single" w:sz="8" w:space="0" w:color="auto"/>
            </w:tcBorders>
            <w:vAlign w:val="bottom"/>
          </w:tcPr>
          <w:p w:rsidR="00A915D3" w:rsidRPr="00557ED2" w:rsidRDefault="00A915D3" w:rsidP="001F7DAE">
            <w:pPr>
              <w:ind w:firstLine="0"/>
              <w:rPr>
                <w:rFonts w:cstheme="minorHAnsi"/>
                <w:szCs w:val="20"/>
              </w:rPr>
            </w:pPr>
          </w:p>
        </w:tc>
        <w:tc>
          <w:tcPr>
            <w:tcW w:w="440" w:type="dxa"/>
            <w:tcBorders>
              <w:right w:val="single" w:sz="8" w:space="0" w:color="auto"/>
            </w:tcBorders>
            <w:vAlign w:val="bottom"/>
          </w:tcPr>
          <w:p w:rsidR="00A915D3" w:rsidRPr="00557ED2" w:rsidRDefault="00A915D3" w:rsidP="001F7DAE">
            <w:pPr>
              <w:ind w:firstLine="0"/>
              <w:rPr>
                <w:rFonts w:cstheme="minorHAnsi"/>
                <w:szCs w:val="20"/>
              </w:rPr>
            </w:pPr>
          </w:p>
        </w:tc>
        <w:tc>
          <w:tcPr>
            <w:tcW w:w="180" w:type="dxa"/>
            <w:tcBorders>
              <w:right w:val="single" w:sz="8" w:space="0" w:color="auto"/>
            </w:tcBorders>
            <w:vAlign w:val="bottom"/>
          </w:tcPr>
          <w:p w:rsidR="00A915D3" w:rsidRPr="00557ED2" w:rsidRDefault="00A915D3" w:rsidP="001F7DAE">
            <w:pPr>
              <w:ind w:firstLine="0"/>
              <w:rPr>
                <w:rFonts w:cstheme="minorHAnsi"/>
                <w:szCs w:val="20"/>
              </w:rPr>
            </w:pPr>
          </w:p>
        </w:tc>
        <w:tc>
          <w:tcPr>
            <w:tcW w:w="440" w:type="dxa"/>
            <w:tcBorders>
              <w:right w:val="single" w:sz="8" w:space="0" w:color="auto"/>
            </w:tcBorders>
            <w:vAlign w:val="bottom"/>
          </w:tcPr>
          <w:p w:rsidR="00A915D3" w:rsidRPr="00557ED2" w:rsidRDefault="00A915D3" w:rsidP="001F7DAE">
            <w:pPr>
              <w:ind w:firstLine="0"/>
              <w:rPr>
                <w:rFonts w:cstheme="minorHAnsi"/>
                <w:szCs w:val="20"/>
              </w:rPr>
            </w:pPr>
          </w:p>
        </w:tc>
        <w:tc>
          <w:tcPr>
            <w:tcW w:w="200" w:type="dxa"/>
            <w:tcBorders>
              <w:right w:val="single" w:sz="8" w:space="0" w:color="auto"/>
            </w:tcBorders>
            <w:vAlign w:val="bottom"/>
          </w:tcPr>
          <w:p w:rsidR="00A915D3" w:rsidRPr="00557ED2" w:rsidRDefault="00A915D3" w:rsidP="001F7DAE">
            <w:pPr>
              <w:ind w:firstLine="0"/>
              <w:rPr>
                <w:rFonts w:cstheme="minorHAnsi"/>
                <w:szCs w:val="20"/>
              </w:rPr>
            </w:pPr>
          </w:p>
        </w:tc>
        <w:tc>
          <w:tcPr>
            <w:tcW w:w="420" w:type="dxa"/>
            <w:tcBorders>
              <w:right w:val="single" w:sz="8" w:space="0" w:color="auto"/>
            </w:tcBorders>
            <w:vAlign w:val="bottom"/>
          </w:tcPr>
          <w:p w:rsidR="00A915D3" w:rsidRPr="00557ED2" w:rsidRDefault="00A915D3" w:rsidP="001F7DAE">
            <w:pPr>
              <w:ind w:firstLine="0"/>
              <w:rPr>
                <w:rFonts w:cstheme="minorHAnsi"/>
                <w:szCs w:val="20"/>
              </w:rPr>
            </w:pPr>
          </w:p>
        </w:tc>
        <w:tc>
          <w:tcPr>
            <w:tcW w:w="200" w:type="dxa"/>
            <w:tcBorders>
              <w:right w:val="single" w:sz="8" w:space="0" w:color="auto"/>
            </w:tcBorders>
            <w:vAlign w:val="bottom"/>
          </w:tcPr>
          <w:p w:rsidR="00A915D3" w:rsidRPr="00557ED2" w:rsidRDefault="00A915D3" w:rsidP="001F7DAE">
            <w:pPr>
              <w:ind w:firstLine="0"/>
              <w:rPr>
                <w:rFonts w:cstheme="minorHAnsi"/>
                <w:szCs w:val="20"/>
              </w:rPr>
            </w:pPr>
          </w:p>
        </w:tc>
        <w:tc>
          <w:tcPr>
            <w:tcW w:w="420" w:type="dxa"/>
            <w:tcBorders>
              <w:right w:val="single" w:sz="8" w:space="0" w:color="auto"/>
            </w:tcBorders>
            <w:vAlign w:val="bottom"/>
          </w:tcPr>
          <w:p w:rsidR="00A915D3" w:rsidRPr="00557ED2" w:rsidRDefault="00A915D3" w:rsidP="001F7DAE">
            <w:pPr>
              <w:ind w:firstLine="0"/>
              <w:rPr>
                <w:rFonts w:cstheme="minorHAnsi"/>
                <w:szCs w:val="20"/>
              </w:rPr>
            </w:pPr>
          </w:p>
        </w:tc>
        <w:tc>
          <w:tcPr>
            <w:tcW w:w="200" w:type="dxa"/>
            <w:tcBorders>
              <w:right w:val="single" w:sz="8" w:space="0" w:color="auto"/>
            </w:tcBorders>
            <w:vAlign w:val="bottom"/>
          </w:tcPr>
          <w:p w:rsidR="00A915D3" w:rsidRPr="00557ED2" w:rsidRDefault="00A915D3" w:rsidP="001F7DAE">
            <w:pPr>
              <w:ind w:firstLine="0"/>
              <w:rPr>
                <w:rFonts w:cstheme="minorHAnsi"/>
                <w:szCs w:val="20"/>
              </w:rPr>
            </w:pPr>
          </w:p>
        </w:tc>
        <w:tc>
          <w:tcPr>
            <w:tcW w:w="420" w:type="dxa"/>
            <w:tcBorders>
              <w:right w:val="single" w:sz="8" w:space="0" w:color="auto"/>
            </w:tcBorders>
            <w:vAlign w:val="bottom"/>
          </w:tcPr>
          <w:p w:rsidR="00A915D3" w:rsidRPr="00557ED2" w:rsidRDefault="00A915D3" w:rsidP="001F7DAE">
            <w:pPr>
              <w:ind w:firstLine="0"/>
              <w:rPr>
                <w:rFonts w:cstheme="minorHAnsi"/>
                <w:szCs w:val="20"/>
              </w:rPr>
            </w:pPr>
          </w:p>
        </w:tc>
        <w:tc>
          <w:tcPr>
            <w:tcW w:w="200" w:type="dxa"/>
            <w:tcBorders>
              <w:right w:val="single" w:sz="8" w:space="0" w:color="auto"/>
            </w:tcBorders>
            <w:vAlign w:val="bottom"/>
          </w:tcPr>
          <w:p w:rsidR="00A915D3" w:rsidRPr="00557ED2" w:rsidRDefault="00A915D3" w:rsidP="001F7DAE">
            <w:pPr>
              <w:ind w:firstLine="0"/>
              <w:rPr>
                <w:rFonts w:cstheme="minorHAnsi"/>
                <w:szCs w:val="20"/>
              </w:rPr>
            </w:pPr>
          </w:p>
        </w:tc>
        <w:tc>
          <w:tcPr>
            <w:tcW w:w="420" w:type="dxa"/>
            <w:tcBorders>
              <w:right w:val="single" w:sz="8" w:space="0" w:color="auto"/>
            </w:tcBorders>
            <w:vAlign w:val="bottom"/>
          </w:tcPr>
          <w:p w:rsidR="00A915D3" w:rsidRPr="00557ED2" w:rsidRDefault="00A915D3" w:rsidP="001F7DAE">
            <w:pPr>
              <w:ind w:firstLine="0"/>
              <w:rPr>
                <w:rFonts w:cstheme="minorHAnsi"/>
                <w:szCs w:val="20"/>
              </w:rPr>
            </w:pPr>
          </w:p>
        </w:tc>
        <w:tc>
          <w:tcPr>
            <w:tcW w:w="440" w:type="dxa"/>
            <w:tcBorders>
              <w:right w:val="single" w:sz="8" w:space="0" w:color="auto"/>
            </w:tcBorders>
            <w:vAlign w:val="bottom"/>
          </w:tcPr>
          <w:p w:rsidR="00A915D3" w:rsidRPr="00557ED2" w:rsidRDefault="00A915D3" w:rsidP="001F7DAE">
            <w:pPr>
              <w:ind w:firstLine="0"/>
              <w:rPr>
                <w:rFonts w:cstheme="minorHAnsi"/>
                <w:szCs w:val="20"/>
              </w:rPr>
            </w:pPr>
          </w:p>
        </w:tc>
        <w:tc>
          <w:tcPr>
            <w:tcW w:w="440" w:type="dxa"/>
            <w:tcBorders>
              <w:right w:val="single" w:sz="8" w:space="0" w:color="auto"/>
            </w:tcBorders>
            <w:vAlign w:val="bottom"/>
          </w:tcPr>
          <w:p w:rsidR="00A915D3" w:rsidRPr="00557ED2" w:rsidRDefault="00A915D3" w:rsidP="001F7DAE">
            <w:pPr>
              <w:ind w:firstLine="0"/>
              <w:rPr>
                <w:rFonts w:cstheme="minorHAnsi"/>
                <w:szCs w:val="20"/>
              </w:rPr>
            </w:pPr>
          </w:p>
        </w:tc>
        <w:tc>
          <w:tcPr>
            <w:tcW w:w="180" w:type="dxa"/>
            <w:vAlign w:val="bottom"/>
          </w:tcPr>
          <w:p w:rsidR="00A915D3" w:rsidRPr="00557ED2" w:rsidRDefault="00A915D3" w:rsidP="001F7DAE">
            <w:pPr>
              <w:ind w:firstLine="0"/>
              <w:rPr>
                <w:rFonts w:cstheme="minorHAnsi"/>
                <w:szCs w:val="20"/>
              </w:rPr>
            </w:pPr>
          </w:p>
        </w:tc>
        <w:tc>
          <w:tcPr>
            <w:tcW w:w="1500" w:type="dxa"/>
            <w:vAlign w:val="bottom"/>
          </w:tcPr>
          <w:p w:rsidR="00A915D3" w:rsidRPr="00557ED2" w:rsidRDefault="00A915D3" w:rsidP="001F7DAE">
            <w:pPr>
              <w:ind w:left="60" w:firstLine="0"/>
              <w:rPr>
                <w:rFonts w:cstheme="minorHAnsi"/>
                <w:szCs w:val="20"/>
              </w:rPr>
            </w:pPr>
            <w:r w:rsidRPr="00557ED2">
              <w:rPr>
                <w:rFonts w:eastAsia="Arial" w:cstheme="minorHAnsi"/>
                <w:szCs w:val="20"/>
              </w:rPr>
              <w:t>rozdzielczych</w:t>
            </w:r>
          </w:p>
        </w:tc>
      </w:tr>
      <w:tr w:rsidR="00A915D3" w:rsidRPr="00557ED2" w:rsidTr="00A915D3">
        <w:trPr>
          <w:trHeight w:val="101"/>
        </w:trPr>
        <w:tc>
          <w:tcPr>
            <w:tcW w:w="460" w:type="dxa"/>
            <w:tcBorders>
              <w:left w:val="single" w:sz="8" w:space="0" w:color="auto"/>
              <w:bottom w:val="single" w:sz="8" w:space="0" w:color="auto"/>
              <w:right w:val="single" w:sz="8" w:space="0" w:color="auto"/>
            </w:tcBorders>
            <w:vAlign w:val="bottom"/>
          </w:tcPr>
          <w:p w:rsidR="00A915D3" w:rsidRPr="00557ED2" w:rsidRDefault="00A915D3" w:rsidP="001F7DAE">
            <w:pPr>
              <w:ind w:firstLine="0"/>
              <w:rPr>
                <w:rFonts w:cstheme="minorHAnsi"/>
                <w:szCs w:val="20"/>
              </w:rPr>
            </w:pPr>
          </w:p>
        </w:tc>
        <w:tc>
          <w:tcPr>
            <w:tcW w:w="180" w:type="dxa"/>
            <w:tcBorders>
              <w:right w:val="single" w:sz="8" w:space="0" w:color="auto"/>
            </w:tcBorders>
            <w:vAlign w:val="bottom"/>
          </w:tcPr>
          <w:p w:rsidR="00A915D3" w:rsidRPr="00557ED2" w:rsidRDefault="00A915D3" w:rsidP="001F7DAE">
            <w:pPr>
              <w:ind w:firstLine="0"/>
              <w:rPr>
                <w:rFonts w:cstheme="minorHAnsi"/>
                <w:szCs w:val="20"/>
              </w:rPr>
            </w:pPr>
          </w:p>
        </w:tc>
        <w:tc>
          <w:tcPr>
            <w:tcW w:w="440" w:type="dxa"/>
            <w:tcBorders>
              <w:bottom w:val="single" w:sz="8" w:space="0" w:color="auto"/>
              <w:right w:val="single" w:sz="8" w:space="0" w:color="auto"/>
            </w:tcBorders>
            <w:vAlign w:val="bottom"/>
          </w:tcPr>
          <w:p w:rsidR="00A915D3" w:rsidRPr="00557ED2" w:rsidRDefault="00A915D3" w:rsidP="001F7DAE">
            <w:pPr>
              <w:ind w:firstLine="0"/>
              <w:rPr>
                <w:rFonts w:cstheme="minorHAnsi"/>
                <w:szCs w:val="20"/>
              </w:rPr>
            </w:pPr>
          </w:p>
        </w:tc>
        <w:tc>
          <w:tcPr>
            <w:tcW w:w="180" w:type="dxa"/>
            <w:tcBorders>
              <w:right w:val="single" w:sz="8" w:space="0" w:color="auto"/>
            </w:tcBorders>
            <w:vAlign w:val="bottom"/>
          </w:tcPr>
          <w:p w:rsidR="00A915D3" w:rsidRPr="00557ED2" w:rsidRDefault="00A915D3" w:rsidP="001F7DAE">
            <w:pPr>
              <w:ind w:firstLine="0"/>
              <w:rPr>
                <w:rFonts w:cstheme="minorHAnsi"/>
                <w:szCs w:val="20"/>
              </w:rPr>
            </w:pPr>
          </w:p>
        </w:tc>
        <w:tc>
          <w:tcPr>
            <w:tcW w:w="440" w:type="dxa"/>
            <w:tcBorders>
              <w:bottom w:val="single" w:sz="8" w:space="0" w:color="auto"/>
              <w:right w:val="single" w:sz="8" w:space="0" w:color="auto"/>
            </w:tcBorders>
            <w:vAlign w:val="bottom"/>
          </w:tcPr>
          <w:p w:rsidR="00A915D3" w:rsidRPr="00557ED2" w:rsidRDefault="00A915D3" w:rsidP="001F7DAE">
            <w:pPr>
              <w:ind w:firstLine="0"/>
              <w:rPr>
                <w:rFonts w:cstheme="minorHAnsi"/>
                <w:szCs w:val="20"/>
              </w:rPr>
            </w:pPr>
          </w:p>
        </w:tc>
        <w:tc>
          <w:tcPr>
            <w:tcW w:w="180" w:type="dxa"/>
            <w:tcBorders>
              <w:right w:val="single" w:sz="8" w:space="0" w:color="auto"/>
            </w:tcBorders>
            <w:vAlign w:val="bottom"/>
          </w:tcPr>
          <w:p w:rsidR="00A915D3" w:rsidRPr="00557ED2" w:rsidRDefault="00A915D3" w:rsidP="001F7DAE">
            <w:pPr>
              <w:ind w:firstLine="0"/>
              <w:rPr>
                <w:rFonts w:cstheme="minorHAnsi"/>
                <w:szCs w:val="20"/>
              </w:rPr>
            </w:pPr>
          </w:p>
        </w:tc>
        <w:tc>
          <w:tcPr>
            <w:tcW w:w="440" w:type="dxa"/>
            <w:tcBorders>
              <w:bottom w:val="single" w:sz="8" w:space="0" w:color="auto"/>
              <w:right w:val="single" w:sz="8" w:space="0" w:color="auto"/>
            </w:tcBorders>
            <w:vAlign w:val="bottom"/>
          </w:tcPr>
          <w:p w:rsidR="00A915D3" w:rsidRPr="00557ED2" w:rsidRDefault="00A915D3" w:rsidP="001F7DAE">
            <w:pPr>
              <w:ind w:firstLine="0"/>
              <w:rPr>
                <w:rFonts w:cstheme="minorHAnsi"/>
                <w:szCs w:val="20"/>
              </w:rPr>
            </w:pPr>
          </w:p>
        </w:tc>
        <w:tc>
          <w:tcPr>
            <w:tcW w:w="200" w:type="dxa"/>
            <w:tcBorders>
              <w:right w:val="single" w:sz="8" w:space="0" w:color="auto"/>
            </w:tcBorders>
            <w:vAlign w:val="bottom"/>
          </w:tcPr>
          <w:p w:rsidR="00A915D3" w:rsidRPr="00557ED2" w:rsidRDefault="00A915D3" w:rsidP="001F7DAE">
            <w:pPr>
              <w:ind w:firstLine="0"/>
              <w:rPr>
                <w:rFonts w:cstheme="minorHAnsi"/>
                <w:szCs w:val="20"/>
              </w:rPr>
            </w:pPr>
          </w:p>
        </w:tc>
        <w:tc>
          <w:tcPr>
            <w:tcW w:w="420" w:type="dxa"/>
            <w:tcBorders>
              <w:bottom w:val="single" w:sz="8" w:space="0" w:color="auto"/>
              <w:right w:val="single" w:sz="8" w:space="0" w:color="auto"/>
            </w:tcBorders>
            <w:vAlign w:val="bottom"/>
          </w:tcPr>
          <w:p w:rsidR="00A915D3" w:rsidRPr="00557ED2" w:rsidRDefault="00A915D3" w:rsidP="001F7DAE">
            <w:pPr>
              <w:ind w:firstLine="0"/>
              <w:rPr>
                <w:rFonts w:cstheme="minorHAnsi"/>
                <w:szCs w:val="20"/>
              </w:rPr>
            </w:pPr>
          </w:p>
        </w:tc>
        <w:tc>
          <w:tcPr>
            <w:tcW w:w="200" w:type="dxa"/>
            <w:tcBorders>
              <w:right w:val="single" w:sz="8" w:space="0" w:color="auto"/>
            </w:tcBorders>
            <w:vAlign w:val="bottom"/>
          </w:tcPr>
          <w:p w:rsidR="00A915D3" w:rsidRPr="00557ED2" w:rsidRDefault="00A915D3" w:rsidP="001F7DAE">
            <w:pPr>
              <w:ind w:firstLine="0"/>
              <w:rPr>
                <w:rFonts w:cstheme="minorHAnsi"/>
                <w:szCs w:val="20"/>
              </w:rPr>
            </w:pPr>
          </w:p>
        </w:tc>
        <w:tc>
          <w:tcPr>
            <w:tcW w:w="420" w:type="dxa"/>
            <w:tcBorders>
              <w:bottom w:val="single" w:sz="8" w:space="0" w:color="auto"/>
              <w:right w:val="single" w:sz="8" w:space="0" w:color="auto"/>
            </w:tcBorders>
            <w:vAlign w:val="bottom"/>
          </w:tcPr>
          <w:p w:rsidR="00A915D3" w:rsidRPr="00557ED2" w:rsidRDefault="00A915D3" w:rsidP="001F7DAE">
            <w:pPr>
              <w:ind w:firstLine="0"/>
              <w:rPr>
                <w:rFonts w:cstheme="minorHAnsi"/>
                <w:szCs w:val="20"/>
              </w:rPr>
            </w:pPr>
          </w:p>
        </w:tc>
        <w:tc>
          <w:tcPr>
            <w:tcW w:w="200" w:type="dxa"/>
            <w:tcBorders>
              <w:right w:val="single" w:sz="8" w:space="0" w:color="auto"/>
            </w:tcBorders>
            <w:vAlign w:val="bottom"/>
          </w:tcPr>
          <w:p w:rsidR="00A915D3" w:rsidRPr="00557ED2" w:rsidRDefault="00A915D3" w:rsidP="001F7DAE">
            <w:pPr>
              <w:ind w:firstLine="0"/>
              <w:rPr>
                <w:rFonts w:cstheme="minorHAnsi"/>
                <w:szCs w:val="20"/>
              </w:rPr>
            </w:pPr>
          </w:p>
        </w:tc>
        <w:tc>
          <w:tcPr>
            <w:tcW w:w="420" w:type="dxa"/>
            <w:tcBorders>
              <w:bottom w:val="single" w:sz="8" w:space="0" w:color="auto"/>
              <w:right w:val="single" w:sz="8" w:space="0" w:color="auto"/>
            </w:tcBorders>
            <w:vAlign w:val="bottom"/>
          </w:tcPr>
          <w:p w:rsidR="00A915D3" w:rsidRPr="00557ED2" w:rsidRDefault="00A915D3" w:rsidP="001F7DAE">
            <w:pPr>
              <w:ind w:firstLine="0"/>
              <w:rPr>
                <w:rFonts w:cstheme="minorHAnsi"/>
                <w:szCs w:val="20"/>
              </w:rPr>
            </w:pPr>
          </w:p>
        </w:tc>
        <w:tc>
          <w:tcPr>
            <w:tcW w:w="200" w:type="dxa"/>
            <w:tcBorders>
              <w:right w:val="single" w:sz="8" w:space="0" w:color="auto"/>
            </w:tcBorders>
            <w:vAlign w:val="bottom"/>
          </w:tcPr>
          <w:p w:rsidR="00A915D3" w:rsidRPr="00557ED2" w:rsidRDefault="00A915D3" w:rsidP="001F7DAE">
            <w:pPr>
              <w:ind w:firstLine="0"/>
              <w:rPr>
                <w:rFonts w:cstheme="minorHAnsi"/>
                <w:szCs w:val="20"/>
              </w:rPr>
            </w:pPr>
          </w:p>
        </w:tc>
        <w:tc>
          <w:tcPr>
            <w:tcW w:w="420" w:type="dxa"/>
            <w:tcBorders>
              <w:bottom w:val="single" w:sz="8" w:space="0" w:color="auto"/>
              <w:right w:val="single" w:sz="8" w:space="0" w:color="auto"/>
            </w:tcBorders>
            <w:vAlign w:val="bottom"/>
          </w:tcPr>
          <w:p w:rsidR="00A915D3" w:rsidRPr="00557ED2" w:rsidRDefault="00A915D3" w:rsidP="001F7DAE">
            <w:pPr>
              <w:ind w:firstLine="0"/>
              <w:rPr>
                <w:rFonts w:cstheme="minorHAnsi"/>
                <w:szCs w:val="20"/>
              </w:rPr>
            </w:pPr>
          </w:p>
        </w:tc>
        <w:tc>
          <w:tcPr>
            <w:tcW w:w="440" w:type="dxa"/>
            <w:tcBorders>
              <w:right w:val="single" w:sz="8" w:space="0" w:color="auto"/>
            </w:tcBorders>
            <w:vAlign w:val="bottom"/>
          </w:tcPr>
          <w:p w:rsidR="00A915D3" w:rsidRPr="00557ED2" w:rsidRDefault="00A915D3" w:rsidP="001F7DAE">
            <w:pPr>
              <w:ind w:firstLine="0"/>
              <w:rPr>
                <w:rFonts w:cstheme="minorHAnsi"/>
                <w:szCs w:val="20"/>
              </w:rPr>
            </w:pPr>
          </w:p>
        </w:tc>
        <w:tc>
          <w:tcPr>
            <w:tcW w:w="440" w:type="dxa"/>
            <w:tcBorders>
              <w:bottom w:val="single" w:sz="8" w:space="0" w:color="auto"/>
              <w:right w:val="single" w:sz="8" w:space="0" w:color="auto"/>
            </w:tcBorders>
            <w:vAlign w:val="bottom"/>
          </w:tcPr>
          <w:p w:rsidR="00A915D3" w:rsidRPr="00557ED2" w:rsidRDefault="00A915D3" w:rsidP="001F7DAE">
            <w:pPr>
              <w:ind w:firstLine="0"/>
              <w:rPr>
                <w:rFonts w:cstheme="minorHAnsi"/>
                <w:szCs w:val="20"/>
              </w:rPr>
            </w:pPr>
          </w:p>
        </w:tc>
        <w:tc>
          <w:tcPr>
            <w:tcW w:w="180" w:type="dxa"/>
            <w:vAlign w:val="bottom"/>
          </w:tcPr>
          <w:p w:rsidR="00A915D3" w:rsidRPr="00557ED2" w:rsidRDefault="00A915D3" w:rsidP="001F7DAE">
            <w:pPr>
              <w:ind w:firstLine="0"/>
              <w:rPr>
                <w:rFonts w:cstheme="minorHAnsi"/>
                <w:szCs w:val="20"/>
              </w:rPr>
            </w:pPr>
          </w:p>
        </w:tc>
        <w:tc>
          <w:tcPr>
            <w:tcW w:w="1500" w:type="dxa"/>
            <w:tcBorders>
              <w:bottom w:val="single" w:sz="8" w:space="0" w:color="auto"/>
            </w:tcBorders>
            <w:vAlign w:val="bottom"/>
          </w:tcPr>
          <w:p w:rsidR="00A915D3" w:rsidRPr="00557ED2" w:rsidRDefault="00A915D3" w:rsidP="001F7DAE">
            <w:pPr>
              <w:ind w:firstLine="0"/>
              <w:rPr>
                <w:rFonts w:cstheme="minorHAnsi"/>
                <w:szCs w:val="20"/>
              </w:rPr>
            </w:pPr>
          </w:p>
        </w:tc>
      </w:tr>
    </w:tbl>
    <w:p w:rsidR="00A915D3" w:rsidRPr="00557ED2" w:rsidRDefault="00A915D3" w:rsidP="001F7DAE">
      <w:pPr>
        <w:pStyle w:val="Nagwek1"/>
        <w:spacing w:before="120"/>
      </w:pPr>
      <w:bookmarkStart w:id="13" w:name="_Toc498462996"/>
      <w:r w:rsidRPr="00557ED2">
        <w:t>WYMAGANIA DOTYCZĄCE WŁAŚCIWOŚCI MATERIAŁÓW</w:t>
      </w:r>
      <w:bookmarkEnd w:id="13"/>
    </w:p>
    <w:p w:rsidR="00A915D3" w:rsidRPr="00557ED2" w:rsidRDefault="00A915D3" w:rsidP="001F7DAE">
      <w:pPr>
        <w:ind w:right="80"/>
        <w:jc w:val="both"/>
        <w:rPr>
          <w:rFonts w:cstheme="minorHAnsi"/>
          <w:szCs w:val="20"/>
        </w:rPr>
      </w:pPr>
      <w:r w:rsidRPr="00557ED2">
        <w:rPr>
          <w:rFonts w:eastAsia="Arial" w:cstheme="minorHAnsi"/>
          <w:szCs w:val="20"/>
        </w:rPr>
        <w:t>Wszelkie nazwy własne produktów i materiałów przywołane w specyfikacji służą ustaleniu pożądanego standardu wykonania i określenia właściwości i wymogów technicznych założonych w dokumentacji technicznej dla projektowanych rozwiązań.</w:t>
      </w:r>
    </w:p>
    <w:p w:rsidR="00A915D3" w:rsidRPr="00557ED2" w:rsidRDefault="00A915D3" w:rsidP="001F7DAE">
      <w:pPr>
        <w:ind w:right="80"/>
        <w:jc w:val="both"/>
        <w:rPr>
          <w:rFonts w:cstheme="minorHAnsi"/>
          <w:szCs w:val="20"/>
        </w:rPr>
      </w:pPr>
      <w:r w:rsidRPr="00557ED2">
        <w:rPr>
          <w:rFonts w:eastAsia="Arial" w:cstheme="minorHAnsi"/>
          <w:szCs w:val="20"/>
        </w:rPr>
        <w:t>Dopuszcza się zamieszczenie rozwiązań w oparciu o produkty (wyroby) innych producentów pod warunkiem:</w:t>
      </w:r>
    </w:p>
    <w:p w:rsidR="00A915D3" w:rsidRPr="00557ED2" w:rsidRDefault="00A915D3" w:rsidP="001F7DAE">
      <w:pPr>
        <w:ind w:left="567" w:hanging="283"/>
        <w:rPr>
          <w:rFonts w:cstheme="minorHAnsi"/>
          <w:szCs w:val="20"/>
        </w:rPr>
      </w:pPr>
      <w:r w:rsidRPr="00557ED2">
        <w:rPr>
          <w:rFonts w:eastAsia="Arial" w:cstheme="minorHAnsi"/>
          <w:szCs w:val="20"/>
        </w:rPr>
        <w:t>–  spełniania tych samych właściwości technicznych,</w:t>
      </w:r>
    </w:p>
    <w:p w:rsidR="00A915D3" w:rsidRPr="00557ED2" w:rsidRDefault="00A915D3" w:rsidP="001F7DAE">
      <w:pPr>
        <w:ind w:left="567" w:right="80" w:hanging="283"/>
        <w:rPr>
          <w:rFonts w:cstheme="minorHAnsi"/>
          <w:szCs w:val="20"/>
        </w:rPr>
      </w:pPr>
      <w:r w:rsidRPr="00557ED2">
        <w:rPr>
          <w:rFonts w:eastAsia="Arial" w:cstheme="minorHAnsi"/>
          <w:szCs w:val="20"/>
        </w:rPr>
        <w:lastRenderedPageBreak/>
        <w:t>– przedstawienia zamiennych rozwiązań na piśmie (dane techniczne, atesty, dopuszczenia do stosowania, uzyskanie akceptacji projektanta).</w:t>
      </w:r>
    </w:p>
    <w:p w:rsidR="00A915D3" w:rsidRPr="00557ED2" w:rsidRDefault="00A915D3" w:rsidP="001F7DAE">
      <w:pPr>
        <w:pStyle w:val="Nagwek2"/>
        <w:spacing w:before="120"/>
      </w:pPr>
      <w:bookmarkStart w:id="14" w:name="_Toc498462997"/>
      <w:r w:rsidRPr="00557ED2">
        <w:rPr>
          <w:rFonts w:eastAsia="Arial"/>
        </w:rPr>
        <w:t>2.1. Ogólne wymagania dotyczące właściwości materiałów, ich pozyskiwania i składowania podano w ST „Wymagania ogólne”, pkt 2</w:t>
      </w:r>
      <w:bookmarkEnd w:id="14"/>
    </w:p>
    <w:p w:rsidR="00A915D3" w:rsidRPr="00557ED2" w:rsidRDefault="00A915D3" w:rsidP="001F7DAE">
      <w:pPr>
        <w:ind w:right="80"/>
        <w:jc w:val="both"/>
        <w:rPr>
          <w:rFonts w:cstheme="minorHAnsi"/>
          <w:szCs w:val="20"/>
        </w:rPr>
      </w:pPr>
      <w:bookmarkStart w:id="15" w:name="page5"/>
      <w:bookmarkEnd w:id="15"/>
      <w:r w:rsidRPr="00557ED2">
        <w:rPr>
          <w:rFonts w:eastAsia="Arial" w:cstheme="minorHAnsi"/>
          <w:szCs w:val="20"/>
        </w:rPr>
        <w:t>Do wykonania i montażu instalacji i urządzeń elektrycznych w obiektach budowlanych należy stosować przewody, kable, osprzęt oraz aparaturę i urządzenia elektryczne posiadające dopuszczenie do stosowania w budownictwie.</w:t>
      </w:r>
    </w:p>
    <w:p w:rsidR="00A915D3" w:rsidRPr="00557ED2" w:rsidRDefault="00A915D3" w:rsidP="001F7DAE">
      <w:r w:rsidRPr="00557ED2">
        <w:rPr>
          <w:rFonts w:eastAsia="Arial"/>
        </w:rPr>
        <w:t>Za dopuszczone do obrotu i stosowania uznaje się wyroby, dla których producent lub jego upoważniony przedstawiciel:</w:t>
      </w:r>
    </w:p>
    <w:p w:rsidR="00A915D3" w:rsidRPr="00557ED2" w:rsidRDefault="00A915D3" w:rsidP="001F7DAE">
      <w:pPr>
        <w:ind w:left="567" w:right="80" w:hanging="283"/>
        <w:rPr>
          <w:rFonts w:cstheme="minorHAnsi"/>
          <w:szCs w:val="20"/>
        </w:rPr>
      </w:pPr>
      <w:r w:rsidRPr="00557ED2">
        <w:rPr>
          <w:rFonts w:eastAsia="Arial" w:cstheme="minorHAnsi"/>
          <w:szCs w:val="20"/>
        </w:rPr>
        <w:t>– dokonał oceny zgodności z wymaganiami dokumentu odniesienia według określonego systemu oceny zgodności,</w:t>
      </w:r>
    </w:p>
    <w:p w:rsidR="00A915D3" w:rsidRPr="00557ED2" w:rsidRDefault="00A915D3" w:rsidP="001F7DAE">
      <w:pPr>
        <w:ind w:left="567" w:right="80" w:hanging="283"/>
        <w:rPr>
          <w:rFonts w:cstheme="minorHAnsi"/>
          <w:szCs w:val="20"/>
        </w:rPr>
      </w:pPr>
      <w:r w:rsidRPr="00557ED2">
        <w:rPr>
          <w:rFonts w:eastAsia="Arial" w:cstheme="minorHAnsi"/>
          <w:szCs w:val="20"/>
        </w:rPr>
        <w:t>– wydał deklarację zgodności z dokumentami odniesienia, takimi jak: zharmonizowane specyfikacje techniczne, normy opracowane przez Międzynarodową Komisję Elektrotechniczną (IEC) i wprowadzone do zbioru Polskich Norm, normy krajowe opracowane z uwzględnieniem przepisów bezpieczeństwa Międzynarodowej Komisji ds. Przepisów Dotyczących Zatwierdzenia Sprzętu Elektrycznego (CEE), aprobaty techniczne,</w:t>
      </w:r>
    </w:p>
    <w:p w:rsidR="00A915D3" w:rsidRPr="00557ED2" w:rsidRDefault="00A915D3" w:rsidP="001F7DAE">
      <w:pPr>
        <w:ind w:left="567" w:hanging="283"/>
        <w:rPr>
          <w:rFonts w:cstheme="minorHAnsi"/>
          <w:szCs w:val="20"/>
        </w:rPr>
      </w:pPr>
      <w:r w:rsidRPr="00557ED2">
        <w:rPr>
          <w:rFonts w:eastAsia="Arial" w:cstheme="minorHAnsi"/>
          <w:szCs w:val="20"/>
        </w:rPr>
        <w:t>–  oznakował wyroby znakiem CE lub znakiem budowlanym B zgodnie z obowiązującymi przepisami,</w:t>
      </w:r>
    </w:p>
    <w:p w:rsidR="00A915D3" w:rsidRPr="00557ED2" w:rsidRDefault="00A915D3" w:rsidP="001F7DAE">
      <w:pPr>
        <w:ind w:left="567" w:right="80" w:hanging="283"/>
        <w:rPr>
          <w:rFonts w:cstheme="minorHAnsi"/>
          <w:szCs w:val="20"/>
        </w:rPr>
      </w:pPr>
      <w:r w:rsidRPr="00557ED2">
        <w:rPr>
          <w:rFonts w:eastAsia="Arial" w:cstheme="minorHAnsi"/>
          <w:szCs w:val="20"/>
        </w:rPr>
        <w:t>– wydał deklarację zgodności z uznanymi regułami sztuki budowlanej, dla wyrobu umieszczonego w określonym przez Komisję Europejską wykazie wyrobów mających niewielkie znaczenie dla zdrowia i bezpieczeństwa,</w:t>
      </w:r>
    </w:p>
    <w:p w:rsidR="00A915D3" w:rsidRPr="00557ED2" w:rsidRDefault="00A915D3" w:rsidP="001F7DAE">
      <w:pPr>
        <w:ind w:left="567" w:right="80" w:hanging="283"/>
        <w:rPr>
          <w:rFonts w:cstheme="minorHAnsi"/>
          <w:szCs w:val="20"/>
        </w:rPr>
      </w:pPr>
      <w:r w:rsidRPr="00557ED2">
        <w:rPr>
          <w:rFonts w:eastAsia="Arial" w:cstheme="minorHAnsi"/>
          <w:szCs w:val="20"/>
        </w:rPr>
        <w:t>– wydał oświadczenie, że zapewniono zgodność wyrobu budowlanego, dopuszczonego do jednostkowego zastosowania w obiekcie budowlanym, z indywidualną dokumentacją projektową, sporządzoną przez projektanta obiektu lub z nim uzgodnioną.</w:t>
      </w:r>
    </w:p>
    <w:p w:rsidR="00A915D3" w:rsidRPr="00557ED2" w:rsidRDefault="00A915D3" w:rsidP="001F7DAE">
      <w:r w:rsidRPr="00557ED2">
        <w:rPr>
          <w:rFonts w:eastAsia="Arial"/>
        </w:rPr>
        <w:t>Zastosowanie innych wyrobów, wyżej nie wymienionych, jest możliwe pod warunkiem posiadania przez nie dopuszczenia do stosowania w budownictwie i uwzględnienia ich w zatwierdzonym projekcie dotyczącym montażu urządzeń elektroenergetycznych w obiekcie budowlanym.</w:t>
      </w:r>
    </w:p>
    <w:p w:rsidR="00A915D3" w:rsidRPr="00557ED2" w:rsidRDefault="00A915D3" w:rsidP="001F7DAE">
      <w:pPr>
        <w:ind w:firstLine="0"/>
        <w:rPr>
          <w:rFonts w:cstheme="minorHAnsi"/>
          <w:szCs w:val="20"/>
        </w:rPr>
      </w:pPr>
    </w:p>
    <w:p w:rsidR="00A915D3" w:rsidRPr="00557ED2" w:rsidRDefault="00A915D3" w:rsidP="001F7DAE">
      <w:pPr>
        <w:pStyle w:val="Nagwek2"/>
        <w:spacing w:before="120"/>
      </w:pPr>
      <w:bookmarkStart w:id="16" w:name="_Toc498462998"/>
      <w:r w:rsidRPr="00557ED2">
        <w:rPr>
          <w:rFonts w:eastAsia="Arial"/>
        </w:rPr>
        <w:t>2.2. Rodzaje materiałów</w:t>
      </w:r>
      <w:bookmarkEnd w:id="16"/>
    </w:p>
    <w:p w:rsidR="00A915D3" w:rsidRPr="00557ED2" w:rsidRDefault="00A915D3" w:rsidP="001F7DAE">
      <w:r w:rsidRPr="00557ED2">
        <w:rPr>
          <w:rFonts w:eastAsia="Arial"/>
        </w:rPr>
        <w:t>Wszystkie materiały do prefabrykacji i montażu rozdzielnic powinny odpowiadać wymaganiom zawartym w dokumentach odniesienia (normach, aprobatach technicznych).</w:t>
      </w:r>
    </w:p>
    <w:p w:rsidR="00A915D3" w:rsidRPr="00557ED2" w:rsidRDefault="00A915D3" w:rsidP="001F7DAE">
      <w:r w:rsidRPr="00557ED2">
        <w:rPr>
          <w:rFonts w:eastAsia="Arial"/>
        </w:rPr>
        <w:t xml:space="preserve">2.2.1. </w:t>
      </w:r>
      <w:r w:rsidR="00915EBC">
        <w:rPr>
          <w:rFonts w:eastAsia="Arial"/>
        </w:rPr>
        <w:tab/>
      </w:r>
      <w:r w:rsidRPr="00557ED2">
        <w:rPr>
          <w:rFonts w:eastAsia="Arial"/>
        </w:rPr>
        <w:t xml:space="preserve"> Obudowy</w:t>
      </w:r>
    </w:p>
    <w:p w:rsidR="00A915D3" w:rsidRPr="00557ED2" w:rsidRDefault="00A915D3" w:rsidP="001F7DAE">
      <w:r w:rsidRPr="00557ED2">
        <w:rPr>
          <w:rFonts w:eastAsia="Arial"/>
        </w:rPr>
        <w:t>Stanowią element pomocniczy przy budowie rozdzielnicy elektrycznej (samodzielnie nie są elementem instalacji elektrycznej); spełniają rolę zabezpieczającą przed dotykiem elementów pod napięciem, są elementem łączącym podzespoły rozdzielnicy, chronią przed przedostawaniem się do wewnątrz ciał obcych (stopień ochrony obudowy IP), poprzez montaż wyposażenia dodatkowego umożliwiają prawidłowe funkcjonowanie rozdzielnicy w zmieniających się warunkach zewnętrznych i przy różnym obciążeniu, podnoszą estetykę instalacji elektrycznych, umożliwiają prawidłowy montaż.</w:t>
      </w:r>
    </w:p>
    <w:p w:rsidR="00A915D3" w:rsidRPr="00557ED2" w:rsidRDefault="00A915D3" w:rsidP="001F7DAE">
      <w:r w:rsidRPr="00557ED2">
        <w:rPr>
          <w:rFonts w:eastAsia="Arial"/>
        </w:rPr>
        <w:t>Należy przestrzegać stosowania tylko takich zamienników obudów, które wymieniane są jako marka referencyjna.</w:t>
      </w:r>
    </w:p>
    <w:p w:rsidR="00A915D3" w:rsidRPr="00557ED2" w:rsidRDefault="00A915D3" w:rsidP="001F7DAE">
      <w:r w:rsidRPr="00557ED2">
        <w:rPr>
          <w:rFonts w:eastAsia="Arial"/>
        </w:rPr>
        <w:t>Wykonujący prefabrykację powinien sprawdzić czy poszczególne elementy obudowy (lub cała obudowa) posiadają certyfikat zgodności lub aprobatę techniczną bądź nadaną przez wytwórcę deklarację zgodności. Wymagania ogólne dotyczące pustych obudów rozdzielnic i sterownic niskonapięciowych podane są w PN-EN 50298:2004, PN-EN 62208:2005 (U).</w:t>
      </w:r>
    </w:p>
    <w:p w:rsidR="00A915D3" w:rsidRPr="00557ED2" w:rsidRDefault="00A915D3" w:rsidP="001F7DAE">
      <w:r w:rsidRPr="00557ED2">
        <w:rPr>
          <w:rFonts w:eastAsia="Arial"/>
        </w:rPr>
        <w:t xml:space="preserve">Podczas przygotowywania obudowy rozdzielnicy do wyposażania w zaprojektowane urządzenia lub prefabrykaty składowe, muszą zostać zachowane wszelkie uwagi i wytyczne producenta obudowy dotyczące metod łączenia obudów w zestawy, sposobu montowania lub usuwania ścianek bocznych wg potrzeb, zastosowania zalecanych materiałów złącznych i uszczelniających obudowy składowe. Wszelkie zaczepy, ucha oraz wzmocnienia transportowe montować zgodnie z instrukcją producenta obudów. Należy stosować wszelkie zaprojektowane pomocnicze elementy systematyzujące porządek wewnątrz rozdzielnicy (uchwyty, prowadnice </w:t>
      </w:r>
      <w:r w:rsidRPr="00557ED2">
        <w:rPr>
          <w:rFonts w:eastAsia="Arial"/>
        </w:rPr>
        <w:lastRenderedPageBreak/>
        <w:t>i koryta kablowe, maskownice, panele szczotkowe itp.) oraz stosować odpowiednie zabezpieczanie elementów po obróbce mechanicznej (zaprawki).</w:t>
      </w:r>
    </w:p>
    <w:p w:rsidR="00A915D3" w:rsidRPr="00557ED2" w:rsidRDefault="00A915D3" w:rsidP="001F7DAE">
      <w:r w:rsidRPr="00557ED2">
        <w:rPr>
          <w:rFonts w:eastAsia="Arial"/>
        </w:rPr>
        <w:t>Listwy oraz linki uziemienia powinny wyróżniać się odpowiednimi kolorami, zgodnie z PN-EN 60446:2004.</w:t>
      </w:r>
    </w:p>
    <w:p w:rsidR="00A915D3" w:rsidRPr="00557ED2" w:rsidRDefault="00A915D3" w:rsidP="001F7DAE">
      <w:r w:rsidRPr="00557ED2">
        <w:rPr>
          <w:rFonts w:eastAsia="Arial"/>
        </w:rPr>
        <w:t xml:space="preserve">2.2.2. </w:t>
      </w:r>
      <w:r w:rsidR="00915EBC">
        <w:rPr>
          <w:rFonts w:eastAsia="Arial"/>
        </w:rPr>
        <w:tab/>
      </w:r>
      <w:r w:rsidRPr="00557ED2">
        <w:rPr>
          <w:rFonts w:eastAsia="Arial"/>
        </w:rPr>
        <w:t xml:space="preserve"> Wyposażenie wewnętrzne rozdzielnic</w:t>
      </w:r>
    </w:p>
    <w:p w:rsidR="00A915D3" w:rsidRPr="00557ED2" w:rsidRDefault="00A915D3" w:rsidP="00915EBC">
      <w:r w:rsidRPr="00557ED2">
        <w:rPr>
          <w:rFonts w:eastAsia="Arial"/>
        </w:rPr>
        <w:t>Skład zestawu elementów wewnętrznych rozdzielnicy określa projekt, jednocześnie wykonujący prefabrykację powinien sprawdzić czy wszystkie zaprojektowane elementy wyposażenia wewnętrznego posiadają nadany przez wytwórcę certyfikat zgodności lub aprobatę techniczną bądź deklarację zgodności.</w:t>
      </w:r>
    </w:p>
    <w:p w:rsidR="00A915D3" w:rsidRPr="00557ED2" w:rsidRDefault="00A915D3" w:rsidP="00915EBC">
      <w:r w:rsidRPr="00557ED2">
        <w:rPr>
          <w:rFonts w:eastAsia="Arial"/>
        </w:rPr>
        <w:t>Należy przestrzegać stosowania tylko takich zamienników elementów wewnętrznych rozdzielnicy, które wymieniane są jako marka referencyjna.</w:t>
      </w:r>
    </w:p>
    <w:p w:rsidR="00A915D3" w:rsidRPr="00557ED2" w:rsidRDefault="00A915D3" w:rsidP="001F7DAE">
      <w:pPr>
        <w:spacing w:before="0"/>
        <w:rPr>
          <w:rFonts w:cstheme="minorHAnsi"/>
          <w:szCs w:val="20"/>
        </w:rPr>
      </w:pPr>
      <w:r w:rsidRPr="00557ED2">
        <w:rPr>
          <w:rFonts w:eastAsia="Arial"/>
        </w:rPr>
        <w:t>Osprzęt ten należy montować do obudowy za pomocą: płyty montażowej lub płyty zabudowy, szyn lub</w:t>
      </w:r>
      <w:bookmarkStart w:id="17" w:name="page6"/>
      <w:bookmarkEnd w:id="17"/>
      <w:r w:rsidR="001F7DAE">
        <w:rPr>
          <w:rFonts w:eastAsia="Arial"/>
        </w:rPr>
        <w:t xml:space="preserve"> </w:t>
      </w:r>
      <w:r w:rsidRPr="00557ED2">
        <w:rPr>
          <w:rFonts w:eastAsia="Arial" w:cstheme="minorHAnsi"/>
          <w:szCs w:val="20"/>
        </w:rPr>
        <w:t>belek nośnych zunifikowanych lub zaprojektowanych, półek i szuflad.</w:t>
      </w:r>
    </w:p>
    <w:p w:rsidR="00A915D3" w:rsidRPr="00557ED2" w:rsidRDefault="00A915D3" w:rsidP="001F7DAE">
      <w:r w:rsidRPr="00557ED2">
        <w:rPr>
          <w:rFonts w:eastAsia="Arial"/>
        </w:rPr>
        <w:t>Połączenia wewnętrzne elementów należy wykonywać za pomocą: szyn poprzez zaciski szynowe, szyn elastycznych, zacisków przyłączeniowych lub przewodów. Na przewody elektryczne połączeń wewnętrznych należy montować końcówki kablowe wg instrukcji producenta.</w:t>
      </w:r>
    </w:p>
    <w:p w:rsidR="00A915D3" w:rsidRPr="00557ED2" w:rsidRDefault="00A915D3" w:rsidP="001F7DAE">
      <w:r w:rsidRPr="00557ED2">
        <w:rPr>
          <w:rFonts w:eastAsia="Arial"/>
        </w:rPr>
        <w:t xml:space="preserve">Dla rozdzielnic teleinformatycznych należy używać elementów przyłączeniowych prefabrykowanych jak kable czteroparowe, krosowe, światłowody krosowe, </w:t>
      </w:r>
      <w:proofErr w:type="spellStart"/>
      <w:r w:rsidRPr="00557ED2">
        <w:rPr>
          <w:rFonts w:eastAsia="Arial"/>
        </w:rPr>
        <w:t>pigtaile</w:t>
      </w:r>
      <w:proofErr w:type="spellEnd"/>
      <w:r w:rsidRPr="00557ED2">
        <w:rPr>
          <w:rFonts w:eastAsia="Arial"/>
        </w:rPr>
        <w:t xml:space="preserve"> i </w:t>
      </w:r>
      <w:proofErr w:type="spellStart"/>
      <w:r w:rsidRPr="00557ED2">
        <w:rPr>
          <w:rFonts w:eastAsia="Arial"/>
        </w:rPr>
        <w:t>patchkordy</w:t>
      </w:r>
      <w:proofErr w:type="spellEnd"/>
      <w:r w:rsidRPr="00557ED2">
        <w:rPr>
          <w:rFonts w:eastAsia="Arial"/>
        </w:rPr>
        <w:t xml:space="preserve"> o określonych długościach.</w:t>
      </w:r>
    </w:p>
    <w:p w:rsidR="00A915D3" w:rsidRPr="00557ED2" w:rsidRDefault="00A915D3" w:rsidP="00915EBC">
      <w:r w:rsidRPr="00557ED2">
        <w:rPr>
          <w:rFonts w:eastAsia="Arial"/>
        </w:rPr>
        <w:t xml:space="preserve">2.2.3. </w:t>
      </w:r>
      <w:r w:rsidR="00915EBC">
        <w:rPr>
          <w:rFonts w:eastAsia="Arial"/>
        </w:rPr>
        <w:tab/>
      </w:r>
      <w:r w:rsidRPr="00557ED2">
        <w:rPr>
          <w:rFonts w:eastAsia="Arial"/>
        </w:rPr>
        <w:t xml:space="preserve"> Elementy mocujące rozdzielnice</w:t>
      </w:r>
    </w:p>
    <w:p w:rsidR="00A915D3" w:rsidRPr="00557ED2" w:rsidRDefault="00A915D3" w:rsidP="00915EBC">
      <w:r w:rsidRPr="00557ED2">
        <w:rPr>
          <w:rFonts w:eastAsia="Arial"/>
        </w:rPr>
        <w:t>Wykonujący montaż rozdzielnicy lub każdego z jej segmentów powinien sprawdzić czy wszystkie zaprojektowane elementy mocujące posiadają nadany przez wytwórcę certyfikat zgodności lub aprobatę techniczną bądź deklarację zgodności.</w:t>
      </w:r>
    </w:p>
    <w:p w:rsidR="00A915D3" w:rsidRPr="00557ED2" w:rsidRDefault="00A915D3" w:rsidP="00915EBC">
      <w:r w:rsidRPr="00557ED2">
        <w:rPr>
          <w:rFonts w:eastAsia="Arial"/>
        </w:rPr>
        <w:t>Podstawowe sposoby montażu:</w:t>
      </w:r>
    </w:p>
    <w:p w:rsidR="00A915D3" w:rsidRPr="00557ED2" w:rsidRDefault="00A915D3" w:rsidP="00915EBC">
      <w:pPr>
        <w:ind w:left="567" w:hanging="283"/>
        <w:rPr>
          <w:rFonts w:cstheme="minorHAnsi"/>
          <w:szCs w:val="20"/>
        </w:rPr>
      </w:pPr>
      <w:r w:rsidRPr="00557ED2">
        <w:rPr>
          <w:rFonts w:eastAsia="Arial" w:cstheme="minorHAnsi"/>
          <w:szCs w:val="20"/>
        </w:rPr>
        <w:t>–  zabetonowanie w podłożu lub ścianie przygotowanych w obudowie kotew stalowych,</w:t>
      </w:r>
    </w:p>
    <w:p w:rsidR="00A915D3" w:rsidRPr="00557ED2" w:rsidRDefault="00A915D3" w:rsidP="00915EBC">
      <w:pPr>
        <w:ind w:left="567" w:right="80" w:hanging="283"/>
        <w:rPr>
          <w:rFonts w:cstheme="minorHAnsi"/>
          <w:szCs w:val="20"/>
        </w:rPr>
      </w:pPr>
      <w:r w:rsidRPr="00557ED2">
        <w:rPr>
          <w:rFonts w:eastAsia="Arial" w:cstheme="minorHAnsi"/>
          <w:szCs w:val="20"/>
        </w:rPr>
        <w:t>– osadzenie w podłożu przy użyciu kołków kotwiących lub rozporowych (otwory do mocowania przygotowane w obudowie),</w:t>
      </w:r>
    </w:p>
    <w:p w:rsidR="00A915D3" w:rsidRPr="00557ED2" w:rsidRDefault="00A915D3" w:rsidP="00915EBC">
      <w:pPr>
        <w:ind w:left="567" w:hanging="283"/>
        <w:rPr>
          <w:rFonts w:cstheme="minorHAnsi"/>
          <w:szCs w:val="20"/>
        </w:rPr>
      </w:pPr>
      <w:r w:rsidRPr="00557ED2">
        <w:rPr>
          <w:rFonts w:eastAsia="Arial" w:cstheme="minorHAnsi"/>
          <w:szCs w:val="20"/>
        </w:rPr>
        <w:t>–  przykręcenie za pomocą materiałów złącznych.</w:t>
      </w:r>
    </w:p>
    <w:p w:rsidR="00A915D3" w:rsidRPr="00557ED2" w:rsidRDefault="00A915D3" w:rsidP="00915EBC">
      <w:r w:rsidRPr="00557ED2">
        <w:rPr>
          <w:rFonts w:eastAsia="Arial"/>
        </w:rPr>
        <w:t xml:space="preserve">2.2.4.  </w:t>
      </w:r>
      <w:r w:rsidR="00915EBC">
        <w:rPr>
          <w:rFonts w:eastAsia="Arial"/>
        </w:rPr>
        <w:tab/>
      </w:r>
      <w:r w:rsidRPr="00557ED2">
        <w:rPr>
          <w:rFonts w:eastAsia="Arial"/>
        </w:rPr>
        <w:t>Specyfikacje materiałowe rozdzielnic</w:t>
      </w:r>
    </w:p>
    <w:p w:rsidR="00CC089A" w:rsidRDefault="00505061" w:rsidP="00BA7E67">
      <w:pPr>
        <w:rPr>
          <w:rFonts w:eastAsia="Arial"/>
        </w:rPr>
      </w:pPr>
      <w:r>
        <w:rPr>
          <w:rFonts w:eastAsia="Arial"/>
        </w:rPr>
        <w:t>- Rozdzielnica 1ROR9 wg rys. nr 5-7</w:t>
      </w:r>
    </w:p>
    <w:p w:rsidR="00CC089A" w:rsidRDefault="00505061" w:rsidP="00CC089A">
      <w:pPr>
        <w:rPr>
          <w:rFonts w:eastAsia="Arial"/>
        </w:rPr>
      </w:pPr>
      <w:r>
        <w:rPr>
          <w:rFonts w:eastAsia="Arial"/>
        </w:rPr>
        <w:t>- Rozdzielnica 1RON9 wg rys. nr 8,9</w:t>
      </w:r>
    </w:p>
    <w:p w:rsidR="00CC089A" w:rsidRDefault="00CC089A" w:rsidP="00CC089A">
      <w:pPr>
        <w:rPr>
          <w:rFonts w:eastAsia="Arial"/>
        </w:rPr>
      </w:pPr>
      <w:r>
        <w:rPr>
          <w:rFonts w:eastAsia="Arial"/>
        </w:rPr>
        <w:t xml:space="preserve">- Rozdzielnica </w:t>
      </w:r>
      <w:r w:rsidR="00505061">
        <w:rPr>
          <w:rFonts w:eastAsia="Arial"/>
        </w:rPr>
        <w:t>1RSR9 wg rys. nr 10-12</w:t>
      </w:r>
    </w:p>
    <w:p w:rsidR="00CC089A" w:rsidRDefault="00505061" w:rsidP="00CC089A">
      <w:pPr>
        <w:rPr>
          <w:rFonts w:eastAsia="Arial"/>
        </w:rPr>
      </w:pPr>
      <w:r>
        <w:rPr>
          <w:rFonts w:eastAsia="Arial"/>
        </w:rPr>
        <w:t>- Rozdzielnica 1RSN9 wg rys. nr 13-15</w:t>
      </w:r>
    </w:p>
    <w:p w:rsidR="00CC089A" w:rsidRDefault="00505061" w:rsidP="00BA7E67">
      <w:pPr>
        <w:rPr>
          <w:rFonts w:eastAsia="Arial"/>
        </w:rPr>
      </w:pPr>
      <w:r>
        <w:rPr>
          <w:rFonts w:eastAsia="Arial"/>
        </w:rPr>
        <w:t>- Rozdzielnica 1IT9 wg rys. nr 16-18</w:t>
      </w:r>
    </w:p>
    <w:p w:rsidR="00BA7E67" w:rsidRDefault="00505061" w:rsidP="00BA7E67">
      <w:pPr>
        <w:rPr>
          <w:rFonts w:eastAsia="Arial"/>
        </w:rPr>
      </w:pPr>
      <w:r>
        <w:rPr>
          <w:rFonts w:eastAsia="Arial"/>
        </w:rPr>
        <w:t>- Rozdzielnica 1TW9 wg rys. nr 19,20</w:t>
      </w:r>
    </w:p>
    <w:p w:rsidR="00505061" w:rsidRDefault="00505061" w:rsidP="00BA7E67">
      <w:pPr>
        <w:rPr>
          <w:rFonts w:eastAsia="Arial"/>
        </w:rPr>
      </w:pPr>
    </w:p>
    <w:p w:rsidR="00505061" w:rsidRDefault="00505061" w:rsidP="00BA7E67">
      <w:pPr>
        <w:rPr>
          <w:rFonts w:eastAsia="Arial"/>
        </w:rPr>
      </w:pPr>
    </w:p>
    <w:p w:rsidR="00A915D3" w:rsidRPr="00557ED2" w:rsidRDefault="00A915D3" w:rsidP="002A719B">
      <w:pPr>
        <w:pStyle w:val="Nagwek2"/>
      </w:pPr>
      <w:bookmarkStart w:id="18" w:name="_Toc498462999"/>
      <w:r w:rsidRPr="00557ED2">
        <w:rPr>
          <w:rFonts w:eastAsia="Arial"/>
        </w:rPr>
        <w:t>2.3. Warunki przyjęcia na budowę wyrobów do robót montażowych i prefabrykacji rozdzielnic</w:t>
      </w:r>
      <w:bookmarkEnd w:id="18"/>
    </w:p>
    <w:p w:rsidR="00A915D3" w:rsidRPr="00557ED2" w:rsidRDefault="00A915D3" w:rsidP="002A719B">
      <w:r w:rsidRPr="00557ED2">
        <w:rPr>
          <w:rFonts w:eastAsia="Arial"/>
        </w:rPr>
        <w:t>Wyroby do robót montażowych i prefabrykacji rozdzielnic mogą być przyjęte na budowę, jeśli spełniają następujące warunki:</w:t>
      </w:r>
    </w:p>
    <w:p w:rsidR="00A915D3" w:rsidRPr="00557ED2" w:rsidRDefault="00A915D3" w:rsidP="002A719B">
      <w:pPr>
        <w:ind w:left="567" w:right="80" w:hanging="247"/>
        <w:rPr>
          <w:rFonts w:cstheme="minorHAnsi"/>
          <w:szCs w:val="20"/>
        </w:rPr>
      </w:pPr>
      <w:r w:rsidRPr="00557ED2">
        <w:rPr>
          <w:rFonts w:eastAsia="Arial" w:cstheme="minorHAnsi"/>
          <w:szCs w:val="20"/>
        </w:rPr>
        <w:t>– są zgodne z ich wyszczególnieniem i charakterystyką podaną w dokumentacji projektowej i specyfikacji technicznej (szczegółowej) SST-E-001,</w:t>
      </w:r>
    </w:p>
    <w:p w:rsidR="00A915D3" w:rsidRPr="00557ED2" w:rsidRDefault="00A915D3" w:rsidP="002A719B">
      <w:pPr>
        <w:ind w:left="567" w:hanging="247"/>
        <w:rPr>
          <w:rFonts w:cstheme="minorHAnsi"/>
          <w:szCs w:val="20"/>
        </w:rPr>
      </w:pPr>
      <w:r w:rsidRPr="00557ED2">
        <w:rPr>
          <w:rFonts w:eastAsia="Arial" w:cstheme="minorHAnsi"/>
          <w:szCs w:val="20"/>
        </w:rPr>
        <w:t>–  są właściwie oznakowane i opakowane,</w:t>
      </w:r>
    </w:p>
    <w:p w:rsidR="00A915D3" w:rsidRPr="00557ED2" w:rsidRDefault="00A915D3" w:rsidP="002A719B">
      <w:pPr>
        <w:ind w:left="567" w:hanging="247"/>
        <w:rPr>
          <w:rFonts w:cstheme="minorHAnsi"/>
          <w:szCs w:val="20"/>
        </w:rPr>
      </w:pPr>
      <w:r w:rsidRPr="00557ED2">
        <w:rPr>
          <w:rFonts w:eastAsia="Arial" w:cstheme="minorHAnsi"/>
          <w:szCs w:val="20"/>
        </w:rPr>
        <w:t>–  spełniają wymagane właściwości wskazane odpowiednimi dokumentami odniesienia,</w:t>
      </w:r>
    </w:p>
    <w:p w:rsidR="00A915D3" w:rsidRPr="00557ED2" w:rsidRDefault="00A915D3" w:rsidP="002A719B">
      <w:pPr>
        <w:ind w:left="567" w:right="80" w:hanging="247"/>
        <w:rPr>
          <w:rFonts w:cstheme="minorHAnsi"/>
          <w:szCs w:val="20"/>
        </w:rPr>
      </w:pPr>
      <w:r w:rsidRPr="00557ED2">
        <w:rPr>
          <w:rFonts w:eastAsia="Arial" w:cstheme="minorHAnsi"/>
          <w:szCs w:val="20"/>
        </w:rPr>
        <w:t>– producent dostarczył dokumenty świadczące o dopuszczeniu do obrotu i powszechnego lub jednostkowego zastosowania, a w odniesieniu do fabrycznie przygotowanych prefabrykatów również karty katalogowe wyrobów lub firmowe wytyczne stosowania wyrobów.</w:t>
      </w:r>
    </w:p>
    <w:p w:rsidR="00A915D3" w:rsidRPr="00557ED2" w:rsidRDefault="00A915D3" w:rsidP="002A719B">
      <w:r w:rsidRPr="00557ED2">
        <w:rPr>
          <w:rFonts w:eastAsia="Arial"/>
        </w:rPr>
        <w:lastRenderedPageBreak/>
        <w:t>Niedopuszczalne jest stosowanie do robót montażowych i prefabrykacji – wyrobów i materiałów nieznanego pochodzenia.</w:t>
      </w:r>
    </w:p>
    <w:p w:rsidR="00A915D3" w:rsidRPr="00557ED2" w:rsidRDefault="00A915D3" w:rsidP="002A719B">
      <w:r w:rsidRPr="00557ED2">
        <w:rPr>
          <w:rFonts w:eastAsia="Arial"/>
        </w:rPr>
        <w:t>Przyjęcie materiałów i wyrobów na budowę powinno być potwierdzone wpisem do dziennika budowy.</w:t>
      </w:r>
    </w:p>
    <w:p w:rsidR="00A915D3" w:rsidRPr="00557ED2" w:rsidRDefault="00A915D3" w:rsidP="002A719B">
      <w:pPr>
        <w:pStyle w:val="Nagwek2"/>
      </w:pPr>
      <w:bookmarkStart w:id="19" w:name="_Toc498463000"/>
      <w:r w:rsidRPr="00557ED2">
        <w:rPr>
          <w:rFonts w:eastAsia="Arial"/>
        </w:rPr>
        <w:t>2.4. Warunki przechowywania wyrobów do montażu i prefabrykacji rozdzielnic</w:t>
      </w:r>
      <w:bookmarkEnd w:id="19"/>
    </w:p>
    <w:p w:rsidR="00A915D3" w:rsidRPr="00557ED2" w:rsidRDefault="00A915D3" w:rsidP="002A719B">
      <w:r w:rsidRPr="00557ED2">
        <w:rPr>
          <w:rFonts w:eastAsia="Arial"/>
        </w:rPr>
        <w:t>Wszystkie materiały i prefabrykaty pakowane powinny być przechowywane i magazynowane zgodnie z instrukcją producenta oraz wymaganiami odpowiednich norm.</w:t>
      </w:r>
    </w:p>
    <w:p w:rsidR="00A915D3" w:rsidRPr="00557ED2" w:rsidRDefault="00A915D3" w:rsidP="002A719B">
      <w:r w:rsidRPr="00557ED2">
        <w:rPr>
          <w:rFonts w:eastAsia="Arial"/>
        </w:rPr>
        <w:t>Pomieszczenie magazynowe do przechowywania wyrobów opakowanych powinno być suche i zabezpieczone przed zawilgoceniem.</w:t>
      </w:r>
    </w:p>
    <w:p w:rsidR="00A915D3" w:rsidRPr="00557ED2" w:rsidRDefault="00A915D3" w:rsidP="002A719B">
      <w:pPr>
        <w:pStyle w:val="Nagwek1"/>
      </w:pPr>
      <w:bookmarkStart w:id="20" w:name="_Toc498463001"/>
      <w:r w:rsidRPr="00557ED2">
        <w:t>WYMAGANIA DOTYCZĄCE SPRZĘTU, MASZYN I NARZĘDZI</w:t>
      </w:r>
      <w:bookmarkEnd w:id="20"/>
    </w:p>
    <w:p w:rsidR="00A915D3" w:rsidRPr="00557ED2" w:rsidRDefault="00A915D3" w:rsidP="002A719B">
      <w:pPr>
        <w:pStyle w:val="Nagwek2"/>
      </w:pPr>
      <w:bookmarkStart w:id="21" w:name="_Toc498463002"/>
      <w:r w:rsidRPr="00557ED2">
        <w:rPr>
          <w:rFonts w:eastAsia="Arial"/>
        </w:rPr>
        <w:t>3.1. Ogólne wymagania dotyczące sprzętu podano w ST „Wymagania ogólne”, pkt 3</w:t>
      </w:r>
      <w:bookmarkEnd w:id="21"/>
    </w:p>
    <w:p w:rsidR="00A915D3" w:rsidRPr="00557ED2" w:rsidRDefault="00A915D3" w:rsidP="002A719B">
      <w:pPr>
        <w:rPr>
          <w:rFonts w:cstheme="minorHAnsi"/>
          <w:szCs w:val="20"/>
        </w:rPr>
      </w:pPr>
      <w:r w:rsidRPr="00557ED2">
        <w:rPr>
          <w:rFonts w:eastAsia="Arial"/>
        </w:rPr>
        <w:t>Prace można wykonywać przy pomocy wszelkiego sprzętu zaakceptowanego przez Inspektora nadzoru. Spawanie powinno odbywać się przy użyciu spawarek o parametrach wymaganych dla grubości</w:t>
      </w:r>
      <w:bookmarkStart w:id="22" w:name="page16"/>
      <w:bookmarkEnd w:id="22"/>
      <w:r w:rsidR="002A719B">
        <w:rPr>
          <w:rFonts w:eastAsia="Arial"/>
        </w:rPr>
        <w:t xml:space="preserve"> </w:t>
      </w:r>
      <w:r w:rsidRPr="00557ED2">
        <w:rPr>
          <w:rFonts w:eastAsia="Arial" w:cstheme="minorHAnsi"/>
          <w:szCs w:val="20"/>
        </w:rPr>
        <w:t>materiałów użytych na poszczególne elementy obudowy, dla łączenia elementów miedzianych należy stosować spawanie gazowe lub łukowe w osłonie gazowej.</w:t>
      </w:r>
    </w:p>
    <w:p w:rsidR="00A915D3" w:rsidRPr="00557ED2" w:rsidRDefault="00A915D3" w:rsidP="002A719B">
      <w:pPr>
        <w:pStyle w:val="Nagwek1"/>
      </w:pPr>
      <w:bookmarkStart w:id="23" w:name="_Toc498463003"/>
      <w:r w:rsidRPr="00557ED2">
        <w:t>WYMAGANIA DOTYCZĄCE TRANSPORTU</w:t>
      </w:r>
      <w:bookmarkEnd w:id="23"/>
    </w:p>
    <w:p w:rsidR="00A915D3" w:rsidRPr="00557ED2" w:rsidRDefault="00A915D3" w:rsidP="002A719B">
      <w:pPr>
        <w:pStyle w:val="Nagwek2"/>
      </w:pPr>
      <w:bookmarkStart w:id="24" w:name="_Toc498463004"/>
      <w:r w:rsidRPr="00557ED2">
        <w:rPr>
          <w:rFonts w:eastAsia="Arial"/>
        </w:rPr>
        <w:t>4.1. Ogólne wymagania dotyczące transportu podano w ST „Wymagania ogólne” , pkt 4</w:t>
      </w:r>
      <w:bookmarkEnd w:id="24"/>
    </w:p>
    <w:p w:rsidR="00A915D3" w:rsidRPr="00557ED2" w:rsidRDefault="00A915D3" w:rsidP="002A719B">
      <w:pPr>
        <w:pStyle w:val="Nagwek2"/>
      </w:pPr>
      <w:bookmarkStart w:id="25" w:name="_Toc498463005"/>
      <w:r w:rsidRPr="00557ED2">
        <w:rPr>
          <w:rFonts w:eastAsia="Arial"/>
        </w:rPr>
        <w:t>4.2. Transport materiałów</w:t>
      </w:r>
      <w:bookmarkEnd w:id="25"/>
    </w:p>
    <w:p w:rsidR="00A915D3" w:rsidRPr="00557ED2" w:rsidRDefault="00A915D3" w:rsidP="002A719B">
      <w:r w:rsidRPr="00557ED2">
        <w:rPr>
          <w:rFonts w:eastAsia="Arial"/>
        </w:rPr>
        <w:t>Podczas transportu na budowę z miejsca składowania po prefabrykacji należy zachować ostrożność aby nie uszkodzić zamontowanych elementów wewnętrznych.</w:t>
      </w:r>
    </w:p>
    <w:p w:rsidR="00A915D3" w:rsidRPr="00557ED2" w:rsidRDefault="00A915D3" w:rsidP="002A719B">
      <w:r w:rsidRPr="00557ED2">
        <w:rPr>
          <w:rFonts w:eastAsia="Arial"/>
        </w:rPr>
        <w:t>Duże rozdzielnice należy przygotować do transportu dzieląc na elementy o wadze umożliwiającej łatwe dostarczenie na miejsce zabudowywania. Stosować opakowania w przypadku możliwości uszkodzeń transportowych.</w:t>
      </w:r>
    </w:p>
    <w:p w:rsidR="00A915D3" w:rsidRPr="00557ED2" w:rsidRDefault="00A915D3" w:rsidP="002A719B">
      <w:pPr>
        <w:pStyle w:val="Nagwek1"/>
      </w:pPr>
      <w:bookmarkStart w:id="26" w:name="_Toc498463006"/>
      <w:r w:rsidRPr="00557ED2">
        <w:t>WYMAGANIA DOTYCZĄCE WYKONANIA ROBÓT</w:t>
      </w:r>
      <w:bookmarkEnd w:id="26"/>
    </w:p>
    <w:p w:rsidR="00A915D3" w:rsidRPr="00557ED2" w:rsidRDefault="00A915D3" w:rsidP="002A719B">
      <w:pPr>
        <w:pStyle w:val="Nagwek2"/>
      </w:pPr>
      <w:bookmarkStart w:id="27" w:name="_Toc498463007"/>
      <w:r w:rsidRPr="00557ED2">
        <w:rPr>
          <w:rFonts w:eastAsia="Arial"/>
        </w:rPr>
        <w:t>5.1. Ogólne zasady wykonania robót podano w ST „Wymagania ogólne”, pkt 5</w:t>
      </w:r>
      <w:bookmarkEnd w:id="27"/>
    </w:p>
    <w:p w:rsidR="00A915D3" w:rsidRPr="00557ED2" w:rsidRDefault="00A915D3" w:rsidP="002A719B">
      <w:r w:rsidRPr="00557ED2">
        <w:rPr>
          <w:rFonts w:eastAsia="Arial"/>
        </w:rPr>
        <w:t>Wykonawca jest odpowiedzialny za prowadzenie robót zgodnie z dokumentacją techniczną i umową oraz za jakość zastosowanych materiałów i jakość wykonanych robót.</w:t>
      </w:r>
    </w:p>
    <w:p w:rsidR="00A915D3" w:rsidRPr="00557ED2" w:rsidRDefault="00A915D3" w:rsidP="002A719B">
      <w:r w:rsidRPr="00557ED2">
        <w:rPr>
          <w:rFonts w:eastAsia="Arial"/>
        </w:rPr>
        <w:t>Roboty winny być wykonane zgodnie z projektem, wymaganiami SST oraz poleceniami inspektora nadzoru.</w:t>
      </w:r>
    </w:p>
    <w:p w:rsidR="00A915D3" w:rsidRPr="00557ED2" w:rsidRDefault="00A915D3" w:rsidP="002A719B">
      <w:pPr>
        <w:pStyle w:val="Nagwek2"/>
      </w:pPr>
      <w:bookmarkStart w:id="28" w:name="_Toc498463008"/>
      <w:r w:rsidRPr="00557ED2">
        <w:rPr>
          <w:rFonts w:eastAsia="Arial"/>
        </w:rPr>
        <w:t>5.2. Prefabrykacja rozdzielnic elektrycznych</w:t>
      </w:r>
      <w:bookmarkEnd w:id="28"/>
    </w:p>
    <w:p w:rsidR="00A915D3" w:rsidRPr="00557ED2" w:rsidRDefault="00A915D3" w:rsidP="002A719B">
      <w:r w:rsidRPr="00557ED2">
        <w:rPr>
          <w:rFonts w:eastAsia="Arial"/>
        </w:rPr>
        <w:t>Przeprowadzenie prefabrykacji rozdzielnicy dokonuje się w oparciu o projekt techniczny, uwzględniający wymagania stawiane wyrobowi. Do najważniejszych wymogów należą: stopień ochrony, ilość wolnego miejsca do montażu, lokalizacja (rodzaj pomieszczenia) typ rozdzielnicy, dane dotyczące sieci zasilającej, miejsce zasilania i odpływów oraz przekroje kabli, specyfikacja wyposażenia. W oparciu o powyższe dane należy sporządzić schemat ideowy, który zwykle jest załącznikiem do dokumentacji.</w:t>
      </w:r>
    </w:p>
    <w:p w:rsidR="00A915D3" w:rsidRPr="00557ED2" w:rsidRDefault="00A915D3" w:rsidP="002A719B">
      <w:r w:rsidRPr="00557ED2">
        <w:rPr>
          <w:rFonts w:eastAsia="Arial"/>
        </w:rPr>
        <w:t>Następnym etapem jest rozrysowanie widoku i wyposażenia rozdzielnicy w celu uzgodnienia planu z inspektorem nadzoru lub technologiem. Przy nieskomplikowanych rozdzielnicach etap ten można pominąć.</w:t>
      </w:r>
    </w:p>
    <w:p w:rsidR="00A915D3" w:rsidRPr="00557ED2" w:rsidRDefault="00A915D3" w:rsidP="002A719B">
      <w:r w:rsidRPr="00557ED2">
        <w:rPr>
          <w:rFonts w:eastAsia="Arial"/>
        </w:rPr>
        <w:t>Po skompletowaniu wszystkich potrzebnych wg specyfikacji elementów rozdzielnicy należy dokonać mocowania i połączeń aparatów i urządzeń wg zaleceń producentów.</w:t>
      </w:r>
    </w:p>
    <w:p w:rsidR="00A915D3" w:rsidRPr="00557ED2" w:rsidRDefault="00A915D3" w:rsidP="002A719B">
      <w:r w:rsidRPr="00557ED2">
        <w:rPr>
          <w:rFonts w:eastAsia="Arial"/>
        </w:rPr>
        <w:t>Przy skomplikowanych układach wyposażenia należy sporządzić kartę technologiczną dla prefabrykacji, stanowi ona załącznik do protokółu zdawczego rozdzielnicy.</w:t>
      </w:r>
    </w:p>
    <w:p w:rsidR="00A915D3" w:rsidRPr="00557ED2" w:rsidRDefault="00A915D3" w:rsidP="002A719B">
      <w:pPr>
        <w:ind w:left="567" w:hanging="283"/>
      </w:pPr>
      <w:r w:rsidRPr="00557ED2">
        <w:rPr>
          <w:rFonts w:eastAsia="Arial"/>
        </w:rPr>
        <w:lastRenderedPageBreak/>
        <w:t>Prefabrykacja rozdzielnicy elektrycznej powinna uwzględniać wszelkie wytyczne projektanta co do wymaganych cech obudowy, a w szczególności:</w:t>
      </w:r>
    </w:p>
    <w:p w:rsidR="00A915D3" w:rsidRPr="00557ED2" w:rsidRDefault="00A915D3" w:rsidP="002A719B">
      <w:pPr>
        <w:ind w:left="567" w:hanging="283"/>
        <w:rPr>
          <w:rFonts w:cstheme="minorHAnsi"/>
          <w:szCs w:val="20"/>
        </w:rPr>
      </w:pPr>
      <w:r w:rsidRPr="00557ED2">
        <w:rPr>
          <w:rFonts w:eastAsia="Arial" w:cstheme="minorHAnsi"/>
          <w:szCs w:val="20"/>
        </w:rPr>
        <w:t>–  stopień ochronności,</w:t>
      </w:r>
    </w:p>
    <w:p w:rsidR="00A915D3" w:rsidRPr="00557ED2" w:rsidRDefault="00A915D3" w:rsidP="002A719B">
      <w:pPr>
        <w:ind w:left="567" w:hanging="283"/>
        <w:rPr>
          <w:rFonts w:cstheme="minorHAnsi"/>
          <w:szCs w:val="20"/>
        </w:rPr>
      </w:pPr>
      <w:r w:rsidRPr="00557ED2">
        <w:rPr>
          <w:rFonts w:eastAsia="Arial" w:cstheme="minorHAnsi"/>
          <w:szCs w:val="20"/>
        </w:rPr>
        <w:t>–  wymiary zewnętrzne każdego elementu obudowy,</w:t>
      </w:r>
    </w:p>
    <w:p w:rsidR="00A915D3" w:rsidRPr="00557ED2" w:rsidRDefault="00A915D3" w:rsidP="002A719B">
      <w:pPr>
        <w:ind w:left="567" w:hanging="283"/>
        <w:rPr>
          <w:rFonts w:cstheme="minorHAnsi"/>
          <w:szCs w:val="20"/>
        </w:rPr>
      </w:pPr>
      <w:r w:rsidRPr="00557ED2">
        <w:rPr>
          <w:rFonts w:eastAsia="Arial" w:cstheme="minorHAnsi"/>
          <w:szCs w:val="20"/>
        </w:rPr>
        <w:t>–  typ rozdzielnicy ze względu na sposób montażu: wolnostojąca, przyścienna, naścienna, wnękowa</w:t>
      </w:r>
    </w:p>
    <w:p w:rsidR="00A915D3" w:rsidRPr="00557ED2" w:rsidRDefault="00A915D3" w:rsidP="002A719B">
      <w:pPr>
        <w:ind w:left="567" w:hanging="283"/>
        <w:rPr>
          <w:rFonts w:cstheme="minorHAnsi"/>
          <w:szCs w:val="20"/>
        </w:rPr>
      </w:pPr>
      <w:r w:rsidRPr="00557ED2">
        <w:rPr>
          <w:rFonts w:eastAsia="Arial" w:cstheme="minorHAnsi"/>
          <w:szCs w:val="20"/>
        </w:rPr>
        <w:t>–  typ rozdzielnicy ze względu na napięcie robocze: średniego napięcia, niskiego napięcia, słaboprądowa,</w:t>
      </w:r>
    </w:p>
    <w:p w:rsidR="00A915D3" w:rsidRPr="00557ED2" w:rsidRDefault="00A915D3" w:rsidP="002A719B">
      <w:pPr>
        <w:ind w:left="567" w:hanging="283"/>
        <w:rPr>
          <w:rFonts w:cstheme="minorHAnsi"/>
          <w:szCs w:val="20"/>
        </w:rPr>
      </w:pPr>
      <w:r w:rsidRPr="00557ED2">
        <w:rPr>
          <w:rFonts w:eastAsia="Arial" w:cstheme="minorHAnsi"/>
          <w:szCs w:val="20"/>
        </w:rPr>
        <w:t>–  sposób zasilania i odpływu: „od góry” lub „od dołu”,</w:t>
      </w:r>
    </w:p>
    <w:p w:rsidR="00A915D3" w:rsidRPr="00557ED2" w:rsidRDefault="00A915D3" w:rsidP="002A719B">
      <w:pPr>
        <w:ind w:left="567" w:hanging="283"/>
        <w:rPr>
          <w:rFonts w:cstheme="minorHAnsi"/>
          <w:szCs w:val="20"/>
        </w:rPr>
      </w:pPr>
      <w:r w:rsidRPr="00557ED2">
        <w:rPr>
          <w:rFonts w:eastAsia="Arial" w:cstheme="minorHAnsi"/>
          <w:szCs w:val="20"/>
        </w:rPr>
        <w:t>–  typ przyłączenia do instalacji: płyty przepustowe, dławice, zaciski, przyłączenie bezpośrednie,</w:t>
      </w:r>
    </w:p>
    <w:p w:rsidR="00A915D3" w:rsidRPr="00557ED2" w:rsidRDefault="00A915D3" w:rsidP="002A719B">
      <w:pPr>
        <w:ind w:left="567" w:right="80" w:hanging="283"/>
        <w:rPr>
          <w:rFonts w:cstheme="minorHAnsi"/>
          <w:szCs w:val="20"/>
        </w:rPr>
      </w:pPr>
      <w:r w:rsidRPr="00557ED2">
        <w:rPr>
          <w:rFonts w:eastAsia="Arial" w:cstheme="minorHAnsi"/>
          <w:szCs w:val="20"/>
        </w:rPr>
        <w:t>– sposób mocowania wyposażenia w obudowie: płyty montażowe i osłonowe, elementy dystansowe, szyny nośne zunifikowane lub zaprojektowane, opracowane wg wymagań normy PN-EN 60439-2:2004,</w:t>
      </w:r>
    </w:p>
    <w:p w:rsidR="00A915D3" w:rsidRPr="00557ED2" w:rsidRDefault="00A915D3" w:rsidP="002A719B">
      <w:pPr>
        <w:ind w:left="567" w:hanging="283"/>
        <w:rPr>
          <w:rFonts w:cstheme="minorHAnsi"/>
          <w:szCs w:val="20"/>
        </w:rPr>
      </w:pPr>
      <w:r w:rsidRPr="00557ED2">
        <w:rPr>
          <w:rFonts w:eastAsia="Arial" w:cstheme="minorHAnsi"/>
          <w:szCs w:val="20"/>
        </w:rPr>
        <w:t>–  rodzaj materiału i kolor elementów obudowy,</w:t>
      </w:r>
    </w:p>
    <w:p w:rsidR="00A915D3" w:rsidRPr="00557ED2" w:rsidRDefault="00A915D3" w:rsidP="002A719B">
      <w:pPr>
        <w:ind w:left="567" w:right="80" w:hanging="283"/>
        <w:rPr>
          <w:rFonts w:cstheme="minorHAnsi"/>
          <w:szCs w:val="20"/>
        </w:rPr>
      </w:pPr>
      <w:r w:rsidRPr="00557ED2">
        <w:rPr>
          <w:rFonts w:eastAsia="Arial" w:cstheme="minorHAnsi"/>
          <w:szCs w:val="20"/>
        </w:rPr>
        <w:t>– sposób zabezpieczenia przed dostępem osób nieuprawnionych, opracowane wg wymagań normy PN-EN 60439-3:2004,</w:t>
      </w:r>
    </w:p>
    <w:p w:rsidR="00A915D3" w:rsidRPr="00557ED2" w:rsidRDefault="00A915D3" w:rsidP="002A719B">
      <w:pPr>
        <w:ind w:left="567" w:hanging="283"/>
        <w:rPr>
          <w:rFonts w:cstheme="minorHAnsi"/>
          <w:szCs w:val="20"/>
        </w:rPr>
      </w:pPr>
      <w:r w:rsidRPr="00557ED2">
        <w:rPr>
          <w:rFonts w:eastAsia="Arial" w:cstheme="minorHAnsi"/>
          <w:szCs w:val="20"/>
        </w:rPr>
        <w:t>–  kompletność montażu wyposażenia dodatkowego,</w:t>
      </w:r>
    </w:p>
    <w:p w:rsidR="00A915D3" w:rsidRPr="00557ED2" w:rsidRDefault="00A915D3" w:rsidP="002A719B">
      <w:pPr>
        <w:ind w:left="567" w:right="80" w:hanging="283"/>
        <w:rPr>
          <w:rFonts w:cstheme="minorHAnsi"/>
          <w:szCs w:val="20"/>
        </w:rPr>
      </w:pPr>
      <w:r w:rsidRPr="00557ED2">
        <w:rPr>
          <w:rFonts w:eastAsia="Arial" w:cstheme="minorHAnsi"/>
          <w:szCs w:val="20"/>
        </w:rPr>
        <w:t>– kompletność i prawidłowość opisów oraz znaków wytypowanych dla danej rozdzielnicy; znaki znajdujące się wewnątrz i na zewnątrz rozdzielnicy,</w:t>
      </w:r>
    </w:p>
    <w:p w:rsidR="00A915D3" w:rsidRPr="00557ED2" w:rsidRDefault="00A915D3" w:rsidP="002A719B">
      <w:pPr>
        <w:ind w:left="567" w:hanging="283"/>
        <w:rPr>
          <w:rFonts w:cstheme="minorHAnsi"/>
          <w:szCs w:val="20"/>
        </w:rPr>
      </w:pPr>
    </w:p>
    <w:p w:rsidR="00A915D3" w:rsidRPr="00557ED2" w:rsidRDefault="00A915D3" w:rsidP="002A719B">
      <w:pPr>
        <w:ind w:left="567" w:right="80" w:hanging="283"/>
        <w:rPr>
          <w:rFonts w:cstheme="minorHAnsi"/>
          <w:szCs w:val="20"/>
        </w:rPr>
      </w:pPr>
      <w:r w:rsidRPr="00557ED2">
        <w:rPr>
          <w:rFonts w:eastAsia="Arial" w:cstheme="minorHAnsi"/>
          <w:szCs w:val="20"/>
        </w:rPr>
        <w:t>– oznakowanie aparatury i okablowania w rozdzielnicy winno być wykonane w sposób czytelny najlepiej przy pomocy drukarki i nie powinno zakrywać danych technicznych aparatów i osprzętu,</w:t>
      </w:r>
    </w:p>
    <w:p w:rsidR="00A915D3" w:rsidRPr="00557ED2" w:rsidRDefault="00A915D3" w:rsidP="002A719B">
      <w:pPr>
        <w:ind w:left="567" w:hanging="283"/>
        <w:rPr>
          <w:rFonts w:cstheme="minorHAnsi"/>
          <w:szCs w:val="20"/>
        </w:rPr>
      </w:pPr>
      <w:r w:rsidRPr="00557ED2">
        <w:rPr>
          <w:rFonts w:eastAsia="Arial" w:cstheme="minorHAnsi"/>
          <w:szCs w:val="20"/>
        </w:rPr>
        <w:t>–  w każdej rozdzielnicy (najlepiej w drzwiczkach) powinna znajdować się kieszeń przeznaczona na</w:t>
      </w:r>
      <w:r w:rsidR="002A719B">
        <w:rPr>
          <w:rFonts w:eastAsia="Arial" w:cstheme="minorHAnsi"/>
          <w:szCs w:val="20"/>
        </w:rPr>
        <w:t xml:space="preserve"> </w:t>
      </w:r>
      <w:bookmarkStart w:id="29" w:name="page17"/>
      <w:bookmarkEnd w:id="29"/>
      <w:r w:rsidRPr="00557ED2">
        <w:rPr>
          <w:rFonts w:eastAsia="Arial" w:cstheme="minorHAnsi"/>
          <w:szCs w:val="20"/>
        </w:rPr>
        <w:t>rysunek schematu rozdzielnicy.</w:t>
      </w:r>
    </w:p>
    <w:p w:rsidR="00A915D3" w:rsidRPr="00557ED2" w:rsidRDefault="00A915D3" w:rsidP="002A719B">
      <w:r w:rsidRPr="00557ED2">
        <w:rPr>
          <w:rFonts w:eastAsia="Arial"/>
        </w:rPr>
        <w:t xml:space="preserve">Ze względu na funkcje jaką spełniają, można wyróżnić rozdzielnice i sterownice. Oba typy tablic mogą być wykonane jako: główne, </w:t>
      </w:r>
      <w:proofErr w:type="spellStart"/>
      <w:r w:rsidRPr="00557ED2">
        <w:rPr>
          <w:rFonts w:eastAsia="Arial"/>
        </w:rPr>
        <w:t>podrozdzielnice</w:t>
      </w:r>
      <w:proofErr w:type="spellEnd"/>
      <w:r w:rsidRPr="00557ED2">
        <w:rPr>
          <w:rFonts w:eastAsia="Arial"/>
        </w:rPr>
        <w:t xml:space="preserve"> i rozdzielnice (sterownice) odbiorcze np. obwodowe, piętrowe lub wydzielone dla konkretnych instalacji.</w:t>
      </w:r>
    </w:p>
    <w:p w:rsidR="00A915D3" w:rsidRPr="00557ED2" w:rsidRDefault="00A915D3" w:rsidP="002A719B">
      <w:r w:rsidRPr="00557ED2">
        <w:rPr>
          <w:rFonts w:eastAsia="Arial"/>
        </w:rPr>
        <w:t>Ze względu na sposób montażu rozróżnia się następujące typy:</w:t>
      </w:r>
    </w:p>
    <w:p w:rsidR="00A915D3" w:rsidRPr="00557ED2" w:rsidRDefault="00A915D3" w:rsidP="002A719B">
      <w:pPr>
        <w:ind w:left="284" w:firstLine="0"/>
        <w:rPr>
          <w:rFonts w:cstheme="minorHAnsi"/>
          <w:szCs w:val="20"/>
        </w:rPr>
      </w:pPr>
      <w:r w:rsidRPr="00557ED2">
        <w:rPr>
          <w:rFonts w:eastAsia="Arial" w:cstheme="minorHAnsi"/>
          <w:szCs w:val="20"/>
        </w:rPr>
        <w:t>–  wolnostojące,</w:t>
      </w:r>
    </w:p>
    <w:p w:rsidR="00A915D3" w:rsidRPr="00557ED2" w:rsidRDefault="00A915D3" w:rsidP="002A719B">
      <w:pPr>
        <w:ind w:left="284" w:firstLine="0"/>
        <w:rPr>
          <w:rFonts w:cstheme="minorHAnsi"/>
          <w:szCs w:val="20"/>
        </w:rPr>
      </w:pPr>
      <w:r w:rsidRPr="00557ED2">
        <w:rPr>
          <w:rFonts w:eastAsia="Arial" w:cstheme="minorHAnsi"/>
          <w:szCs w:val="20"/>
        </w:rPr>
        <w:t>–  przyścienne,</w:t>
      </w:r>
    </w:p>
    <w:p w:rsidR="00A915D3" w:rsidRPr="00557ED2" w:rsidRDefault="00A915D3" w:rsidP="002A719B">
      <w:pPr>
        <w:ind w:left="284" w:firstLine="0"/>
        <w:rPr>
          <w:rFonts w:cstheme="minorHAnsi"/>
          <w:szCs w:val="20"/>
        </w:rPr>
      </w:pPr>
      <w:r w:rsidRPr="00557ED2">
        <w:rPr>
          <w:rFonts w:eastAsia="Arial" w:cstheme="minorHAnsi"/>
          <w:szCs w:val="20"/>
        </w:rPr>
        <w:t>–  wiszące (naścienne),</w:t>
      </w:r>
    </w:p>
    <w:p w:rsidR="00A915D3" w:rsidRPr="00557ED2" w:rsidRDefault="00A915D3" w:rsidP="002A719B">
      <w:pPr>
        <w:ind w:left="284" w:firstLine="0"/>
        <w:rPr>
          <w:rFonts w:cstheme="minorHAnsi"/>
          <w:szCs w:val="20"/>
        </w:rPr>
      </w:pPr>
      <w:r w:rsidRPr="00557ED2">
        <w:rPr>
          <w:rFonts w:eastAsia="Arial" w:cstheme="minorHAnsi"/>
          <w:szCs w:val="20"/>
        </w:rPr>
        <w:t>–  wnękowe.</w:t>
      </w:r>
    </w:p>
    <w:p w:rsidR="00A915D3" w:rsidRPr="00557ED2" w:rsidRDefault="00A915D3" w:rsidP="002A719B">
      <w:r w:rsidRPr="00557ED2">
        <w:rPr>
          <w:rFonts w:eastAsia="Arial"/>
        </w:rPr>
        <w:t>Rozdzielnica (sterownica) musi spełniać wymogi PN-EN 60439-1:2003 (zgodnej z międzynarodową IEC-439-1). Wymagane jest świadectwo badań dla prefabrykowanej rozdzielnicy lub sterownicy, zgodne z ww. wymogami normy.</w:t>
      </w:r>
    </w:p>
    <w:p w:rsidR="00A915D3" w:rsidRPr="00557ED2" w:rsidRDefault="00A915D3" w:rsidP="002A719B">
      <w:r w:rsidRPr="00557ED2">
        <w:rPr>
          <w:rFonts w:eastAsia="Arial"/>
        </w:rPr>
        <w:t>Rozdzielnica (sterownica) przeznaczona do zainstalowania na terenach budów musi spełniać wymogi norm PN-EN 60439-4:2004 oraz PN-EN 60439-4:2005(U).</w:t>
      </w:r>
    </w:p>
    <w:p w:rsidR="00A915D3" w:rsidRPr="00557ED2" w:rsidRDefault="00A915D3" w:rsidP="002A719B">
      <w:r w:rsidRPr="00557ED2">
        <w:rPr>
          <w:rFonts w:eastAsia="Arial"/>
        </w:rPr>
        <w:t>Rozdzielnica (sterownica) przeznaczona do zainstalowania w miejscach ogólnodostępnych musi spełniać wymogi normy PN-EN 60439-5:2002.</w:t>
      </w:r>
    </w:p>
    <w:p w:rsidR="00A915D3" w:rsidRPr="00557ED2" w:rsidRDefault="00A915D3" w:rsidP="002A719B">
      <w:r w:rsidRPr="00557ED2">
        <w:rPr>
          <w:rFonts w:eastAsia="Arial"/>
        </w:rPr>
        <w:t>Rozdzielnica (sterownica) powinna być wyposażona w maskownicę z tworzywa sztucznego, chroniącą przed skutkami napięcia dotykowego, jeśli występuje możliwość kontaktu bezpośredniego z elementami pod napięciem.</w:t>
      </w:r>
    </w:p>
    <w:p w:rsidR="00A915D3" w:rsidRPr="00557ED2" w:rsidRDefault="00A915D3" w:rsidP="002A719B">
      <w:r w:rsidRPr="00557ED2">
        <w:rPr>
          <w:rFonts w:eastAsia="Arial"/>
        </w:rPr>
        <w:t>Wszystkie konstrukcje przyścienne rozdzielnic (sterownic) powinny zapewniać dostęp do kompletu elementów wykonawczych od frontu.</w:t>
      </w:r>
    </w:p>
    <w:p w:rsidR="00A915D3" w:rsidRPr="00557ED2" w:rsidRDefault="00A915D3" w:rsidP="002A719B">
      <w:r w:rsidRPr="00557ED2">
        <w:rPr>
          <w:rFonts w:eastAsia="Arial"/>
        </w:rPr>
        <w:t>Przy konstruowaniu rozdzielnicy (sterownicy) należy przewidzieć rozwiązanie pozwalające na ewentualną rozbudowę układu min. 20%, bez konieczności zmiany systemu rozdzielnic (w przypadku, kiedy pozostawiona np. dwudziestoprocentowa rezerwa miejsca okaże się niewystarczająca).</w:t>
      </w:r>
    </w:p>
    <w:p w:rsidR="00A915D3" w:rsidRPr="00557ED2" w:rsidRDefault="00A915D3" w:rsidP="002A719B">
      <w:r w:rsidRPr="00557ED2">
        <w:rPr>
          <w:rFonts w:eastAsia="Arial"/>
        </w:rPr>
        <w:lastRenderedPageBreak/>
        <w:t>Sposób rozmieszczenia montowanego wewnątrz wyposażenia powinien uwzględniać zasadę jednorodności w ramach wydzielonego segmentu rozdzielnicy oraz równomierności rozkładu w ramach dysponowanej powierzchni.</w:t>
      </w:r>
    </w:p>
    <w:p w:rsidR="00A915D3" w:rsidRPr="00557ED2" w:rsidRDefault="00A915D3" w:rsidP="002A719B">
      <w:r w:rsidRPr="00557ED2">
        <w:rPr>
          <w:rFonts w:eastAsia="Arial"/>
        </w:rPr>
        <w:t>Rozdzielnice (sterownice) montowane poza pomieszczeniami ruchu elektrycznego powinny być wykonane minimum w II klasie ochronności.</w:t>
      </w:r>
    </w:p>
    <w:p w:rsidR="00A915D3" w:rsidRPr="00557ED2" w:rsidRDefault="00A915D3" w:rsidP="002A719B">
      <w:r w:rsidRPr="00557ED2">
        <w:rPr>
          <w:rFonts w:eastAsia="Arial"/>
        </w:rPr>
        <w:t>Na drzwiach rozdzielnicy (sterownicy) winien znajdować się szyld z nazwą rozdzielnicy zgodną z nazwą rozdzielnicy ze schematu głównego zasilania budynku. Szyld winien być przymocowany w sposób trwały.</w:t>
      </w:r>
    </w:p>
    <w:p w:rsidR="00A915D3" w:rsidRPr="00557ED2" w:rsidRDefault="00A915D3" w:rsidP="002A719B">
      <w:pPr>
        <w:pStyle w:val="Nagwek2"/>
      </w:pPr>
      <w:bookmarkStart w:id="30" w:name="_Toc498463009"/>
      <w:r w:rsidRPr="00557ED2">
        <w:rPr>
          <w:rFonts w:eastAsia="Arial"/>
        </w:rPr>
        <w:t>5.3. Montaż rozdzielnic elektrycznych</w:t>
      </w:r>
      <w:bookmarkEnd w:id="30"/>
    </w:p>
    <w:p w:rsidR="00A915D3" w:rsidRPr="00557ED2" w:rsidRDefault="00A915D3" w:rsidP="002A719B">
      <w:r w:rsidRPr="00557ED2">
        <w:rPr>
          <w:rFonts w:eastAsia="Arial"/>
        </w:rPr>
        <w:t>Zakres robót obejmuje:</w:t>
      </w:r>
    </w:p>
    <w:p w:rsidR="00A915D3" w:rsidRPr="00557ED2" w:rsidRDefault="00A915D3" w:rsidP="002A719B">
      <w:pPr>
        <w:ind w:left="567" w:hanging="283"/>
        <w:rPr>
          <w:rFonts w:cstheme="minorHAnsi"/>
          <w:szCs w:val="20"/>
        </w:rPr>
      </w:pPr>
      <w:r w:rsidRPr="00557ED2">
        <w:rPr>
          <w:rFonts w:eastAsia="Arial" w:cstheme="minorHAnsi"/>
          <w:szCs w:val="20"/>
        </w:rPr>
        <w:t>–  przemieszczenie w strefie montażowej,</w:t>
      </w:r>
    </w:p>
    <w:p w:rsidR="00A915D3" w:rsidRPr="00557ED2" w:rsidRDefault="00A915D3" w:rsidP="002A719B">
      <w:pPr>
        <w:ind w:left="567" w:hanging="283"/>
        <w:rPr>
          <w:rFonts w:cstheme="minorHAnsi"/>
          <w:szCs w:val="20"/>
        </w:rPr>
      </w:pPr>
      <w:r w:rsidRPr="00557ED2">
        <w:rPr>
          <w:rFonts w:eastAsia="Arial" w:cstheme="minorHAnsi"/>
          <w:szCs w:val="20"/>
        </w:rPr>
        <w:t>–  rozpakowanie,</w:t>
      </w:r>
    </w:p>
    <w:p w:rsidR="00A915D3" w:rsidRPr="00557ED2" w:rsidRDefault="00A915D3" w:rsidP="002A719B">
      <w:pPr>
        <w:ind w:left="567" w:hanging="283"/>
        <w:rPr>
          <w:rFonts w:cstheme="minorHAnsi"/>
          <w:szCs w:val="20"/>
        </w:rPr>
      </w:pPr>
      <w:r w:rsidRPr="00557ED2">
        <w:rPr>
          <w:rFonts w:eastAsia="Arial" w:cstheme="minorHAnsi"/>
          <w:szCs w:val="20"/>
        </w:rPr>
        <w:t>–  ustawienie na miejscu montażu wg projektu,</w:t>
      </w:r>
    </w:p>
    <w:p w:rsidR="00A915D3" w:rsidRPr="00557ED2" w:rsidRDefault="00A915D3" w:rsidP="002A719B">
      <w:pPr>
        <w:ind w:left="567" w:hanging="283"/>
        <w:rPr>
          <w:rFonts w:cstheme="minorHAnsi"/>
          <w:szCs w:val="20"/>
        </w:rPr>
      </w:pPr>
      <w:r w:rsidRPr="00557ED2">
        <w:rPr>
          <w:rFonts w:eastAsia="Arial" w:cstheme="minorHAnsi"/>
          <w:szCs w:val="20"/>
        </w:rPr>
        <w:t>–  wyznaczenie miejsca zainstalowania,</w:t>
      </w:r>
    </w:p>
    <w:p w:rsidR="00A915D3" w:rsidRPr="00557ED2" w:rsidRDefault="00A915D3" w:rsidP="002A719B">
      <w:pPr>
        <w:ind w:left="567" w:hanging="283"/>
        <w:rPr>
          <w:rFonts w:cstheme="minorHAnsi"/>
          <w:szCs w:val="20"/>
        </w:rPr>
      </w:pPr>
      <w:r w:rsidRPr="00557ED2">
        <w:rPr>
          <w:rFonts w:eastAsia="Arial" w:cstheme="minorHAnsi"/>
          <w:szCs w:val="20"/>
        </w:rPr>
        <w:t>–  trasowanie,</w:t>
      </w:r>
    </w:p>
    <w:p w:rsidR="00A915D3" w:rsidRPr="00557ED2" w:rsidRDefault="00A915D3" w:rsidP="002A719B">
      <w:pPr>
        <w:ind w:left="567" w:hanging="283"/>
        <w:rPr>
          <w:rFonts w:cstheme="minorHAnsi"/>
          <w:szCs w:val="20"/>
        </w:rPr>
      </w:pPr>
      <w:r w:rsidRPr="00557ED2">
        <w:rPr>
          <w:rFonts w:eastAsia="Arial" w:cstheme="minorHAnsi"/>
          <w:szCs w:val="20"/>
        </w:rPr>
        <w:t>–  wykonanie ślepych otworów poprzez podkucie we wnęce albo kucie ręczne lub mechaniczne, wiercenie</w:t>
      </w:r>
      <w:r w:rsidR="002A719B">
        <w:rPr>
          <w:rFonts w:eastAsia="Arial" w:cstheme="minorHAnsi"/>
          <w:szCs w:val="20"/>
        </w:rPr>
        <w:t xml:space="preserve"> </w:t>
      </w:r>
      <w:r w:rsidRPr="00557ED2">
        <w:rPr>
          <w:rFonts w:eastAsia="Arial" w:cstheme="minorHAnsi"/>
          <w:szCs w:val="20"/>
        </w:rPr>
        <w:t>mechaniczne otworów w sufitach, ścianach lub podłożach, montaż systemowych elementów zamocowania,</w:t>
      </w:r>
    </w:p>
    <w:p w:rsidR="00A915D3" w:rsidRPr="00557ED2" w:rsidRDefault="00A915D3" w:rsidP="002A719B">
      <w:pPr>
        <w:ind w:left="567" w:right="80" w:hanging="283"/>
        <w:rPr>
          <w:rFonts w:cstheme="minorHAnsi"/>
          <w:szCs w:val="20"/>
        </w:rPr>
      </w:pPr>
      <w:r w:rsidRPr="00557ED2">
        <w:rPr>
          <w:rFonts w:eastAsia="Arial" w:cstheme="minorHAnsi"/>
          <w:szCs w:val="20"/>
        </w:rPr>
        <w:t>– osadzenie kołków osadczych plastikowych oraz dybli, śrub kotwiących lub wsporników wraz z zabetonowaniem,</w:t>
      </w:r>
    </w:p>
    <w:p w:rsidR="00A915D3" w:rsidRPr="00557ED2" w:rsidRDefault="00A915D3" w:rsidP="002A719B">
      <w:pPr>
        <w:ind w:left="567" w:right="80" w:hanging="283"/>
        <w:rPr>
          <w:rFonts w:cstheme="minorHAnsi"/>
          <w:szCs w:val="20"/>
        </w:rPr>
      </w:pPr>
      <w:r w:rsidRPr="00557ED2">
        <w:rPr>
          <w:rFonts w:eastAsia="Arial" w:cstheme="minorHAnsi"/>
          <w:szCs w:val="20"/>
        </w:rPr>
        <w:t>– montaż wraz z regulacją mechaniczną elementów odmontowanych na czas mocowania (drzwiczki, klamki, zamki, pokrywy),</w:t>
      </w:r>
    </w:p>
    <w:p w:rsidR="00A915D3" w:rsidRPr="00557ED2" w:rsidRDefault="00A915D3" w:rsidP="002A719B">
      <w:pPr>
        <w:ind w:left="567" w:hanging="283"/>
        <w:rPr>
          <w:rFonts w:cstheme="minorHAnsi"/>
          <w:szCs w:val="20"/>
        </w:rPr>
      </w:pPr>
      <w:r w:rsidRPr="00557ED2">
        <w:rPr>
          <w:rFonts w:eastAsia="Arial" w:cstheme="minorHAnsi"/>
          <w:szCs w:val="20"/>
        </w:rPr>
        <w:t>–  podłączenie uziemienia,</w:t>
      </w:r>
    </w:p>
    <w:p w:rsidR="00A915D3" w:rsidRPr="00557ED2" w:rsidRDefault="00A915D3" w:rsidP="002A719B">
      <w:pPr>
        <w:ind w:left="567" w:right="80" w:hanging="283"/>
        <w:rPr>
          <w:rFonts w:cstheme="minorHAnsi"/>
          <w:szCs w:val="20"/>
        </w:rPr>
      </w:pPr>
      <w:r w:rsidRPr="00557ED2">
        <w:rPr>
          <w:rFonts w:eastAsia="Arial" w:cstheme="minorHAnsi"/>
          <w:szCs w:val="20"/>
        </w:rPr>
        <w:t>– sprawdzenie prawidłowości usytuowania w pomieszczeniu, w szczególności zachowania minimalnych szerokości przejść i dróg ewakuacyjnych,</w:t>
      </w:r>
    </w:p>
    <w:p w:rsidR="00A915D3" w:rsidRPr="00557ED2" w:rsidRDefault="00A915D3" w:rsidP="002A719B">
      <w:pPr>
        <w:ind w:left="567" w:hanging="283"/>
        <w:rPr>
          <w:rFonts w:cstheme="minorHAnsi"/>
          <w:szCs w:val="20"/>
        </w:rPr>
      </w:pPr>
      <w:r w:rsidRPr="00557ED2">
        <w:rPr>
          <w:rFonts w:eastAsia="Arial" w:cstheme="minorHAnsi"/>
          <w:szCs w:val="20"/>
        </w:rPr>
        <w:t>–  sprawdzenie prawidłowości działania po zamontowaniu,</w:t>
      </w:r>
    </w:p>
    <w:p w:rsidR="00A915D3" w:rsidRPr="00557ED2" w:rsidRDefault="00A915D3" w:rsidP="002A719B">
      <w:pPr>
        <w:ind w:left="567" w:hanging="283"/>
        <w:rPr>
          <w:rFonts w:cstheme="minorHAnsi"/>
          <w:szCs w:val="20"/>
        </w:rPr>
      </w:pPr>
      <w:r w:rsidRPr="00557ED2">
        <w:rPr>
          <w:rFonts w:eastAsia="Arial" w:cstheme="minorHAnsi"/>
          <w:szCs w:val="20"/>
        </w:rPr>
        <w:t>–  przeprowadzenie prób i badań.</w:t>
      </w:r>
    </w:p>
    <w:p w:rsidR="00A915D3" w:rsidRPr="00557ED2" w:rsidRDefault="00A915D3" w:rsidP="002A719B">
      <w:pPr>
        <w:rPr>
          <w:rFonts w:cstheme="minorHAnsi"/>
          <w:szCs w:val="20"/>
        </w:rPr>
      </w:pPr>
      <w:r w:rsidRPr="00557ED2">
        <w:rPr>
          <w:rFonts w:eastAsia="Arial"/>
        </w:rPr>
        <w:t>Przy podłączaniu rozdzielnicy do instalacji elektrycznej należy pamiętać aby wszystkie kable odpływowe</w:t>
      </w:r>
      <w:r w:rsidR="002A719B">
        <w:rPr>
          <w:rFonts w:eastAsia="Arial"/>
        </w:rPr>
        <w:t xml:space="preserve"> </w:t>
      </w:r>
      <w:bookmarkStart w:id="31" w:name="page18"/>
      <w:bookmarkEnd w:id="31"/>
      <w:r w:rsidRPr="00557ED2">
        <w:rPr>
          <w:rFonts w:eastAsia="Arial" w:cstheme="minorHAnsi"/>
          <w:szCs w:val="20"/>
        </w:rPr>
        <w:t>wyposażyć w szyldy z adresami, warunek ten jest szczególnie ważny przy dużej ilości kabli odpływowych.</w:t>
      </w:r>
    </w:p>
    <w:p w:rsidR="00A915D3" w:rsidRPr="00557ED2" w:rsidRDefault="00A915D3" w:rsidP="002A719B">
      <w:pPr>
        <w:pStyle w:val="Nagwek1"/>
      </w:pPr>
      <w:bookmarkStart w:id="32" w:name="_Toc498463010"/>
      <w:r w:rsidRPr="00557ED2">
        <w:t>KONTROLA JAKOŚCI ROBÓT</w:t>
      </w:r>
      <w:bookmarkEnd w:id="32"/>
    </w:p>
    <w:p w:rsidR="00A915D3" w:rsidRPr="00557ED2" w:rsidRDefault="00A915D3" w:rsidP="002A719B">
      <w:pPr>
        <w:pStyle w:val="Nagwek2"/>
      </w:pPr>
      <w:bookmarkStart w:id="33" w:name="_Toc498463011"/>
      <w:r w:rsidRPr="00557ED2">
        <w:rPr>
          <w:rFonts w:eastAsia="Arial"/>
        </w:rPr>
        <w:t>6.1. Ogólne zasady kontroli jakości robót podano w ST „Wymagania ogólne”, pkt 6</w:t>
      </w:r>
      <w:bookmarkEnd w:id="33"/>
    </w:p>
    <w:p w:rsidR="00A915D3" w:rsidRPr="00557ED2" w:rsidRDefault="00A915D3" w:rsidP="002A719B">
      <w:pPr>
        <w:pStyle w:val="Nagwek2"/>
        <w:rPr>
          <w:rFonts w:cstheme="minorHAnsi"/>
          <w:szCs w:val="20"/>
        </w:rPr>
      </w:pPr>
      <w:bookmarkStart w:id="34" w:name="_Toc498463012"/>
      <w:r w:rsidRPr="00557ED2">
        <w:rPr>
          <w:rFonts w:eastAsia="Arial"/>
        </w:rPr>
        <w:t xml:space="preserve">6.2. Szczegółowy wykaz oraz zakres </w:t>
      </w:r>
      <w:proofErr w:type="spellStart"/>
      <w:r w:rsidRPr="00557ED2">
        <w:rPr>
          <w:rFonts w:eastAsia="Arial"/>
        </w:rPr>
        <w:t>pomontażowych</w:t>
      </w:r>
      <w:proofErr w:type="spellEnd"/>
      <w:r w:rsidRPr="00557ED2">
        <w:rPr>
          <w:rFonts w:eastAsia="Arial"/>
        </w:rPr>
        <w:t xml:space="preserve"> badań rozdzielnic zawarty jest w PN-EN</w:t>
      </w:r>
      <w:r w:rsidR="002A719B">
        <w:rPr>
          <w:rFonts w:eastAsia="Arial"/>
        </w:rPr>
        <w:t xml:space="preserve"> </w:t>
      </w:r>
      <w:r w:rsidRPr="00557ED2">
        <w:rPr>
          <w:rFonts w:eastAsia="Arial" w:cstheme="minorHAnsi"/>
          <w:szCs w:val="20"/>
        </w:rPr>
        <w:t>60439-1:2003 i PN-E-04700:1998/Az1:2000</w:t>
      </w:r>
      <w:bookmarkEnd w:id="34"/>
    </w:p>
    <w:p w:rsidR="00A915D3" w:rsidRPr="00557ED2" w:rsidRDefault="00A915D3" w:rsidP="002A719B">
      <w:r w:rsidRPr="00557ED2">
        <w:rPr>
          <w:rFonts w:eastAsia="Arial"/>
        </w:rPr>
        <w:t>Ponadto należy wykonać sprawdzenia odbiorcze składające się z oględzin częściowych i końcowych polegających na kontroli:</w:t>
      </w:r>
    </w:p>
    <w:p w:rsidR="00A915D3" w:rsidRPr="00557ED2" w:rsidRDefault="00A915D3" w:rsidP="002A719B">
      <w:pPr>
        <w:ind w:left="567" w:hanging="283"/>
        <w:rPr>
          <w:rFonts w:cstheme="minorHAnsi"/>
          <w:szCs w:val="20"/>
        </w:rPr>
      </w:pPr>
      <w:r w:rsidRPr="00557ED2">
        <w:rPr>
          <w:rFonts w:eastAsia="Arial" w:cstheme="minorHAnsi"/>
          <w:szCs w:val="20"/>
        </w:rPr>
        <w:t>–  zgodności dokumentacji powykonawczej z projektem i ze stanem faktycznym,</w:t>
      </w:r>
    </w:p>
    <w:p w:rsidR="00A915D3" w:rsidRPr="00557ED2" w:rsidRDefault="00A915D3" w:rsidP="002A719B">
      <w:pPr>
        <w:ind w:left="567" w:hanging="283"/>
        <w:rPr>
          <w:rFonts w:cstheme="minorHAnsi"/>
          <w:szCs w:val="20"/>
        </w:rPr>
      </w:pPr>
      <w:r w:rsidRPr="00557ED2">
        <w:rPr>
          <w:rFonts w:eastAsia="Arial" w:cstheme="minorHAnsi"/>
          <w:szCs w:val="20"/>
        </w:rPr>
        <w:t>–  zgodności połączeń z ustalonym w dokumentacji powykonawczej,</w:t>
      </w:r>
    </w:p>
    <w:p w:rsidR="00A915D3" w:rsidRPr="00557ED2" w:rsidRDefault="00A915D3" w:rsidP="002A719B">
      <w:pPr>
        <w:ind w:left="567" w:hanging="283"/>
        <w:rPr>
          <w:rFonts w:cstheme="minorHAnsi"/>
          <w:szCs w:val="20"/>
        </w:rPr>
      </w:pPr>
      <w:r w:rsidRPr="00557ED2">
        <w:rPr>
          <w:rFonts w:eastAsia="Arial" w:cstheme="minorHAnsi"/>
          <w:szCs w:val="20"/>
        </w:rPr>
        <w:t>–  napisów informacyjno-ostrzegawczych,</w:t>
      </w:r>
    </w:p>
    <w:p w:rsidR="00A915D3" w:rsidRPr="00557ED2" w:rsidRDefault="00A915D3" w:rsidP="002A719B">
      <w:pPr>
        <w:ind w:left="567" w:hanging="283"/>
        <w:rPr>
          <w:rFonts w:cstheme="minorHAnsi"/>
          <w:szCs w:val="20"/>
        </w:rPr>
      </w:pPr>
      <w:r w:rsidRPr="00557ED2">
        <w:rPr>
          <w:rFonts w:eastAsia="Arial" w:cstheme="minorHAnsi"/>
          <w:szCs w:val="20"/>
        </w:rPr>
        <w:t>–  działania przyrządów kontrolno-pomiarowych i rejestrujących (liczniki energii elektrycznej),</w:t>
      </w:r>
    </w:p>
    <w:p w:rsidR="00A915D3" w:rsidRPr="00557ED2" w:rsidRDefault="00A915D3" w:rsidP="002A719B">
      <w:pPr>
        <w:ind w:left="567" w:hanging="283"/>
        <w:rPr>
          <w:rFonts w:cstheme="minorHAnsi"/>
          <w:szCs w:val="20"/>
        </w:rPr>
      </w:pPr>
      <w:r w:rsidRPr="00557ED2">
        <w:rPr>
          <w:rFonts w:eastAsia="Arial" w:cstheme="minorHAnsi"/>
          <w:szCs w:val="20"/>
        </w:rPr>
        <w:t>–  działania sygnalizacji stanu położenia łączników,</w:t>
      </w:r>
    </w:p>
    <w:p w:rsidR="00A915D3" w:rsidRPr="00557ED2" w:rsidRDefault="00A915D3" w:rsidP="002A719B">
      <w:pPr>
        <w:ind w:left="567" w:hanging="283"/>
        <w:rPr>
          <w:rFonts w:cstheme="minorHAnsi"/>
          <w:szCs w:val="20"/>
        </w:rPr>
      </w:pPr>
      <w:r w:rsidRPr="00557ED2">
        <w:rPr>
          <w:rFonts w:eastAsia="Arial" w:cstheme="minorHAnsi"/>
          <w:szCs w:val="20"/>
        </w:rPr>
        <w:t>–  stanu i gotowości ruchowej aparatury i napędów łączników,</w:t>
      </w:r>
    </w:p>
    <w:p w:rsidR="00A915D3" w:rsidRPr="00557ED2" w:rsidRDefault="00A915D3" w:rsidP="002A719B">
      <w:pPr>
        <w:ind w:left="567" w:hanging="283"/>
        <w:rPr>
          <w:rFonts w:cstheme="minorHAnsi"/>
          <w:szCs w:val="20"/>
        </w:rPr>
      </w:pPr>
      <w:r w:rsidRPr="00557ED2">
        <w:rPr>
          <w:rFonts w:eastAsia="Arial" w:cstheme="minorHAnsi"/>
          <w:szCs w:val="20"/>
        </w:rPr>
        <w:t>–  stanu zewnętrznego głowic kablowych,</w:t>
      </w:r>
    </w:p>
    <w:p w:rsidR="00A915D3" w:rsidRPr="00557ED2" w:rsidRDefault="00A915D3" w:rsidP="002A719B">
      <w:pPr>
        <w:ind w:left="567" w:hanging="283"/>
        <w:rPr>
          <w:rFonts w:cstheme="minorHAnsi"/>
          <w:szCs w:val="20"/>
        </w:rPr>
      </w:pPr>
      <w:r w:rsidRPr="00557ED2">
        <w:rPr>
          <w:rFonts w:eastAsia="Arial" w:cstheme="minorHAnsi"/>
          <w:szCs w:val="20"/>
        </w:rPr>
        <w:lastRenderedPageBreak/>
        <w:t>–  stanu kanałów kablowych, kabli i konstrukcji wsporczych,</w:t>
      </w:r>
    </w:p>
    <w:p w:rsidR="00A915D3" w:rsidRPr="00557ED2" w:rsidRDefault="00A915D3" w:rsidP="002A719B">
      <w:pPr>
        <w:ind w:left="567" w:hanging="283"/>
        <w:rPr>
          <w:rFonts w:cstheme="minorHAnsi"/>
          <w:szCs w:val="20"/>
        </w:rPr>
      </w:pPr>
      <w:r w:rsidRPr="00557ED2">
        <w:rPr>
          <w:rFonts w:eastAsia="Arial" w:cstheme="minorHAnsi"/>
          <w:szCs w:val="20"/>
        </w:rPr>
        <w:t>–  stanu ochrony przeciwporażeniowej,</w:t>
      </w:r>
    </w:p>
    <w:p w:rsidR="00A915D3" w:rsidRPr="00557ED2" w:rsidRDefault="00A915D3" w:rsidP="002A719B">
      <w:pPr>
        <w:ind w:left="567" w:hanging="283"/>
        <w:rPr>
          <w:rFonts w:cstheme="minorHAnsi"/>
          <w:szCs w:val="20"/>
        </w:rPr>
      </w:pPr>
      <w:r w:rsidRPr="00557ED2">
        <w:rPr>
          <w:rFonts w:eastAsia="Arial" w:cstheme="minorHAnsi"/>
          <w:szCs w:val="20"/>
        </w:rPr>
        <w:t>–  stanu urządzeń wentylacyjnych – chłodzenie rozdzielnicy,</w:t>
      </w:r>
    </w:p>
    <w:p w:rsidR="00A915D3" w:rsidRPr="00557ED2" w:rsidRDefault="00A915D3" w:rsidP="002A719B">
      <w:pPr>
        <w:ind w:left="567" w:hanging="283"/>
        <w:rPr>
          <w:rFonts w:cstheme="minorHAnsi"/>
          <w:szCs w:val="20"/>
        </w:rPr>
      </w:pPr>
      <w:r w:rsidRPr="00557ED2">
        <w:rPr>
          <w:rFonts w:eastAsia="Arial" w:cstheme="minorHAnsi"/>
          <w:szCs w:val="20"/>
        </w:rPr>
        <w:t>–  schematu stacji, rozdzielnicy lub sterownicy,</w:t>
      </w:r>
    </w:p>
    <w:p w:rsidR="00A915D3" w:rsidRPr="00557ED2" w:rsidRDefault="00A915D3" w:rsidP="002A719B">
      <w:pPr>
        <w:ind w:left="567" w:hanging="283"/>
        <w:rPr>
          <w:rFonts w:cstheme="minorHAnsi"/>
          <w:szCs w:val="20"/>
        </w:rPr>
      </w:pPr>
      <w:r w:rsidRPr="00557ED2">
        <w:rPr>
          <w:rFonts w:eastAsia="Arial" w:cstheme="minorHAnsi"/>
          <w:szCs w:val="20"/>
        </w:rPr>
        <w:t>–  stanu i kompletności dokumentacji eksploatacyjnej,</w:t>
      </w:r>
    </w:p>
    <w:p w:rsidR="00A915D3" w:rsidRPr="00557ED2" w:rsidRDefault="00A915D3" w:rsidP="002A719B">
      <w:pPr>
        <w:ind w:left="567" w:hanging="283"/>
        <w:rPr>
          <w:rFonts w:cstheme="minorHAnsi"/>
          <w:szCs w:val="20"/>
        </w:rPr>
      </w:pPr>
      <w:r w:rsidRPr="00557ED2">
        <w:rPr>
          <w:rFonts w:eastAsia="Arial" w:cstheme="minorHAnsi"/>
          <w:szCs w:val="20"/>
        </w:rPr>
        <w:t>–  sprawdzenie ciągłości przewodów fazowych, neutralnych i ochronnych,</w:t>
      </w:r>
    </w:p>
    <w:p w:rsidR="00A915D3" w:rsidRPr="00557ED2" w:rsidRDefault="00A915D3" w:rsidP="002A719B">
      <w:pPr>
        <w:ind w:left="567" w:right="80" w:hanging="283"/>
        <w:rPr>
          <w:rFonts w:cstheme="minorHAnsi"/>
          <w:szCs w:val="20"/>
        </w:rPr>
      </w:pPr>
      <w:r w:rsidRPr="00557ED2">
        <w:rPr>
          <w:rFonts w:eastAsia="Arial" w:cstheme="minorHAnsi"/>
          <w:szCs w:val="20"/>
        </w:rPr>
        <w:t>– poprawności wykonania połączeń śrubowych instalacji elektrycznej potwierdzonych protokołem przez wykonawcę montażu.</w:t>
      </w:r>
    </w:p>
    <w:p w:rsidR="00A915D3" w:rsidRPr="00557ED2" w:rsidRDefault="00A915D3" w:rsidP="002A719B">
      <w:r w:rsidRPr="00557ED2">
        <w:rPr>
          <w:rFonts w:eastAsia="Arial"/>
        </w:rPr>
        <w:t>Po wykonaniu oględzin należy sporządzić protokóły z przeprowadzonych badań zgodnie z wymogami zawartymi w normie PN-IEC 60364-6-61:2000.</w:t>
      </w:r>
    </w:p>
    <w:p w:rsidR="00A915D3" w:rsidRPr="00557ED2" w:rsidRDefault="00A915D3" w:rsidP="002A719B">
      <w:pPr>
        <w:pStyle w:val="Nagwek2"/>
      </w:pPr>
      <w:bookmarkStart w:id="35" w:name="_Toc498463013"/>
      <w:r w:rsidRPr="00557ED2">
        <w:rPr>
          <w:rFonts w:eastAsia="Arial"/>
        </w:rPr>
        <w:t>6.</w:t>
      </w:r>
      <w:r w:rsidR="002A719B">
        <w:rPr>
          <w:rFonts w:eastAsia="Arial"/>
        </w:rPr>
        <w:t>3</w:t>
      </w:r>
      <w:r w:rsidRPr="00557ED2">
        <w:rPr>
          <w:rFonts w:eastAsia="Arial"/>
        </w:rPr>
        <w:t>. Zasady postępowania z wadliwie wykonanymi robotami i materiałami</w:t>
      </w:r>
      <w:bookmarkEnd w:id="35"/>
    </w:p>
    <w:p w:rsidR="00A915D3" w:rsidRPr="00557ED2" w:rsidRDefault="00A915D3" w:rsidP="002A719B">
      <w:r w:rsidRPr="00557ED2">
        <w:rPr>
          <w:rFonts w:eastAsia="Arial"/>
        </w:rPr>
        <w:t>Wszystkie materiały, urządzenia i aparaty nie spełniające wymagań podanych w odpowiednich punktach specyfikacji, zostaną odrzucone. Jeśli materiały, urządzenia i aparaty nie spełniające wymagań zostały wbudowane lub zastosowane, to na polecenie Inspektora nadzoru Wykonawca wymieni je na właściwe, na własny koszt.</w:t>
      </w:r>
    </w:p>
    <w:p w:rsidR="00A915D3" w:rsidRPr="00557ED2" w:rsidRDefault="00A915D3" w:rsidP="002A719B">
      <w:r w:rsidRPr="00557ED2">
        <w:rPr>
          <w:rFonts w:eastAsia="Arial"/>
        </w:rPr>
        <w:t>Na pisemne wystąpienie Wykonawcy Inspektor nadzoru może uznać wadę za niemającą zasadniczego wpływu na jakość funkcjonowania urządzenia (aparatu itp.) i ustalić zakres i wielkość potrąceń za obniżoną jakość.</w:t>
      </w:r>
    </w:p>
    <w:p w:rsidR="00A915D3" w:rsidRPr="00557ED2" w:rsidRDefault="00A915D3" w:rsidP="002A719B">
      <w:pPr>
        <w:pStyle w:val="Nagwek1"/>
      </w:pPr>
      <w:bookmarkStart w:id="36" w:name="_Toc498463014"/>
      <w:r w:rsidRPr="00557ED2">
        <w:t>WYMAGANIA DOTYCZĄCE PRZEDMIARU I OBMIARU ROBÓT</w:t>
      </w:r>
      <w:bookmarkEnd w:id="36"/>
    </w:p>
    <w:p w:rsidR="00A915D3" w:rsidRPr="00557ED2" w:rsidRDefault="00A915D3" w:rsidP="002A719B">
      <w:pPr>
        <w:pStyle w:val="Nagwek2"/>
      </w:pPr>
      <w:bookmarkStart w:id="37" w:name="_Toc498463015"/>
      <w:r w:rsidRPr="00557ED2">
        <w:rPr>
          <w:rFonts w:eastAsia="Arial"/>
        </w:rPr>
        <w:t>7.1. Ogólne zasady przedmiaru i obmiaru podano w ST „Wymagania ogólne”, pkt 7</w:t>
      </w:r>
      <w:bookmarkEnd w:id="37"/>
    </w:p>
    <w:p w:rsidR="00A915D3" w:rsidRPr="00557ED2" w:rsidRDefault="00A915D3" w:rsidP="002A719B">
      <w:pPr>
        <w:pStyle w:val="Nagwek2"/>
      </w:pPr>
      <w:bookmarkStart w:id="38" w:name="_Toc498463016"/>
      <w:r w:rsidRPr="00557ED2">
        <w:rPr>
          <w:rFonts w:eastAsia="Arial"/>
        </w:rPr>
        <w:t>7.2. Szczegółowe zasady przedmiaru i obmiaru robót montażowych i prefabrykacji</w:t>
      </w:r>
      <w:bookmarkEnd w:id="38"/>
    </w:p>
    <w:p w:rsidR="00A915D3" w:rsidRPr="00557ED2" w:rsidRDefault="00A915D3" w:rsidP="002A719B">
      <w:r w:rsidRPr="00557ED2">
        <w:rPr>
          <w:rFonts w:eastAsia="Arial"/>
        </w:rPr>
        <w:t>Obmiaru robót dokonuje się z natury (wykonanej roboty) przyjmując jednostki miary odpowiadające zawartym w dokumentacji i tak:</w:t>
      </w:r>
    </w:p>
    <w:p w:rsidR="00A915D3" w:rsidRPr="00557ED2" w:rsidRDefault="00A915D3" w:rsidP="002A719B">
      <w:pPr>
        <w:ind w:left="567" w:hanging="283"/>
        <w:rPr>
          <w:rFonts w:cstheme="minorHAnsi"/>
          <w:szCs w:val="20"/>
        </w:rPr>
      </w:pPr>
      <w:r w:rsidRPr="00557ED2">
        <w:rPr>
          <w:rFonts w:eastAsia="Arial" w:cstheme="minorHAnsi"/>
          <w:szCs w:val="20"/>
        </w:rPr>
        <w:t xml:space="preserve">–  dla rozdzielnicy: szt., </w:t>
      </w:r>
      <w:proofErr w:type="spellStart"/>
      <w:r w:rsidRPr="00557ED2">
        <w:rPr>
          <w:rFonts w:eastAsia="Arial" w:cstheme="minorHAnsi"/>
          <w:szCs w:val="20"/>
        </w:rPr>
        <w:t>kpl</w:t>
      </w:r>
      <w:proofErr w:type="spellEnd"/>
      <w:r w:rsidRPr="00557ED2">
        <w:rPr>
          <w:rFonts w:eastAsia="Arial" w:cstheme="minorHAnsi"/>
          <w:szCs w:val="20"/>
        </w:rPr>
        <w:t>.,</w:t>
      </w:r>
    </w:p>
    <w:p w:rsidR="00A915D3" w:rsidRPr="00557ED2" w:rsidRDefault="00A915D3" w:rsidP="002A719B">
      <w:pPr>
        <w:ind w:left="567" w:hanging="283"/>
        <w:rPr>
          <w:rFonts w:cstheme="minorHAnsi"/>
          <w:szCs w:val="20"/>
        </w:rPr>
      </w:pPr>
      <w:r w:rsidRPr="00557ED2">
        <w:rPr>
          <w:rFonts w:eastAsia="Arial" w:cstheme="minorHAnsi"/>
          <w:szCs w:val="20"/>
        </w:rPr>
        <w:t xml:space="preserve">–  dla osprzętu montażowego w rozdzielnicy: szt., </w:t>
      </w:r>
      <w:proofErr w:type="spellStart"/>
      <w:r w:rsidRPr="00557ED2">
        <w:rPr>
          <w:rFonts w:eastAsia="Arial" w:cstheme="minorHAnsi"/>
          <w:szCs w:val="20"/>
        </w:rPr>
        <w:t>kpl</w:t>
      </w:r>
      <w:proofErr w:type="spellEnd"/>
      <w:r w:rsidRPr="00557ED2">
        <w:rPr>
          <w:rFonts w:eastAsia="Arial" w:cstheme="minorHAnsi"/>
          <w:szCs w:val="20"/>
        </w:rPr>
        <w:t>., m,</w:t>
      </w:r>
    </w:p>
    <w:p w:rsidR="00A915D3" w:rsidRPr="00557ED2" w:rsidRDefault="00A915D3" w:rsidP="002A719B">
      <w:pPr>
        <w:ind w:left="567" w:hanging="283"/>
        <w:rPr>
          <w:rFonts w:cstheme="minorHAnsi"/>
          <w:szCs w:val="20"/>
        </w:rPr>
      </w:pPr>
      <w:r w:rsidRPr="00557ED2">
        <w:rPr>
          <w:rFonts w:eastAsia="Arial" w:cstheme="minorHAnsi"/>
          <w:szCs w:val="20"/>
        </w:rPr>
        <w:t xml:space="preserve">–  dla aparatów montażowych w rozdzielnicy: szt., </w:t>
      </w:r>
      <w:proofErr w:type="spellStart"/>
      <w:r w:rsidRPr="00557ED2">
        <w:rPr>
          <w:rFonts w:eastAsia="Arial" w:cstheme="minorHAnsi"/>
          <w:szCs w:val="20"/>
        </w:rPr>
        <w:t>kpl</w:t>
      </w:r>
      <w:proofErr w:type="spellEnd"/>
      <w:r w:rsidRPr="00557ED2">
        <w:rPr>
          <w:rFonts w:eastAsia="Arial" w:cstheme="minorHAnsi"/>
          <w:szCs w:val="20"/>
        </w:rPr>
        <w:t>.,</w:t>
      </w:r>
    </w:p>
    <w:p w:rsidR="00A915D3" w:rsidRPr="00557ED2" w:rsidRDefault="00A915D3" w:rsidP="002A719B">
      <w:pPr>
        <w:tabs>
          <w:tab w:val="left" w:pos="280"/>
        </w:tabs>
        <w:ind w:left="567" w:hanging="283"/>
        <w:rPr>
          <w:rFonts w:cstheme="minorHAnsi"/>
          <w:szCs w:val="20"/>
        </w:rPr>
      </w:pPr>
      <w:bookmarkStart w:id="39" w:name="page19"/>
      <w:bookmarkEnd w:id="39"/>
      <w:r w:rsidRPr="00557ED2">
        <w:rPr>
          <w:rFonts w:eastAsia="Arial" w:cstheme="minorHAnsi"/>
          <w:szCs w:val="20"/>
        </w:rPr>
        <w:t>–</w:t>
      </w:r>
      <w:r w:rsidR="002A719B">
        <w:rPr>
          <w:rFonts w:cstheme="minorHAnsi"/>
          <w:szCs w:val="20"/>
        </w:rPr>
        <w:t xml:space="preserve">  </w:t>
      </w:r>
      <w:r w:rsidRPr="00557ED2">
        <w:rPr>
          <w:rFonts w:eastAsia="Arial" w:cstheme="minorHAnsi"/>
          <w:szCs w:val="20"/>
        </w:rPr>
        <w:t xml:space="preserve">dla przewodów, kabli, rur, listew: m, </w:t>
      </w:r>
      <w:proofErr w:type="spellStart"/>
      <w:r w:rsidRPr="00557ED2">
        <w:rPr>
          <w:rFonts w:eastAsia="Arial" w:cstheme="minorHAnsi"/>
          <w:szCs w:val="20"/>
        </w:rPr>
        <w:t>kpl</w:t>
      </w:r>
      <w:proofErr w:type="spellEnd"/>
      <w:r w:rsidRPr="00557ED2">
        <w:rPr>
          <w:rFonts w:eastAsia="Arial" w:cstheme="minorHAnsi"/>
          <w:szCs w:val="20"/>
        </w:rPr>
        <w:t>.</w:t>
      </w:r>
    </w:p>
    <w:p w:rsidR="00A915D3" w:rsidRPr="00557ED2" w:rsidRDefault="00A915D3" w:rsidP="002A719B">
      <w:r w:rsidRPr="00557ED2">
        <w:rPr>
          <w:rFonts w:eastAsia="Arial"/>
        </w:rPr>
        <w:t>W specyfikacji technicznej szczegółowej dla montażu i prefabrykacji rozdzielnic, opracowanej dla konkretnego przedmiotu zamówienia, można ustalić inne szczegółowe zasady przedmiaru i obmiaru przedmiotowych robót</w:t>
      </w:r>
    </w:p>
    <w:p w:rsidR="00A915D3" w:rsidRPr="00557ED2" w:rsidRDefault="00A915D3" w:rsidP="00DE4566">
      <w:r w:rsidRPr="00557ED2">
        <w:rPr>
          <w:rFonts w:eastAsia="Arial"/>
        </w:rPr>
        <w:t>W szczególności można przyjąć zasady podane w katalogach zawierających jednostkowe nakłady rzeczowe dla odpowiednich robót.</w:t>
      </w:r>
    </w:p>
    <w:p w:rsidR="00A915D3" w:rsidRPr="00557ED2" w:rsidRDefault="00A915D3" w:rsidP="00DE4566">
      <w:pPr>
        <w:pStyle w:val="Nagwek1"/>
      </w:pPr>
      <w:bookmarkStart w:id="40" w:name="_Toc498463017"/>
      <w:r w:rsidRPr="00557ED2">
        <w:t>SPOSÓB ODBIORU ROBÓT</w:t>
      </w:r>
      <w:bookmarkEnd w:id="40"/>
    </w:p>
    <w:p w:rsidR="00A915D3" w:rsidRPr="00557ED2" w:rsidRDefault="00A915D3" w:rsidP="00DE4566">
      <w:pPr>
        <w:pStyle w:val="Nagwek2"/>
      </w:pPr>
      <w:bookmarkStart w:id="41" w:name="_Toc498463018"/>
      <w:r w:rsidRPr="00557ED2">
        <w:rPr>
          <w:rFonts w:eastAsia="Arial"/>
        </w:rPr>
        <w:t>8.1. Ogólne zasady odbioru robót podano w ST „Wymagania ogólne” , pkt 8</w:t>
      </w:r>
      <w:bookmarkEnd w:id="41"/>
    </w:p>
    <w:p w:rsidR="00A915D3" w:rsidRPr="00557ED2" w:rsidRDefault="00A915D3" w:rsidP="00DE4566">
      <w:pPr>
        <w:pStyle w:val="Nagwek2"/>
      </w:pPr>
      <w:bookmarkStart w:id="42" w:name="_Toc498463019"/>
      <w:r w:rsidRPr="00557ED2">
        <w:rPr>
          <w:rFonts w:eastAsia="Arial"/>
        </w:rPr>
        <w:t>8.2. Warunki odbioru instalacji i urządzeń zasilających</w:t>
      </w:r>
      <w:bookmarkEnd w:id="42"/>
    </w:p>
    <w:p w:rsidR="00A915D3" w:rsidRPr="00557ED2" w:rsidRDefault="00A915D3" w:rsidP="00DE4566">
      <w:r w:rsidRPr="00557ED2">
        <w:rPr>
          <w:rFonts w:eastAsia="Arial"/>
        </w:rPr>
        <w:t xml:space="preserve">8.2.1. </w:t>
      </w:r>
      <w:r w:rsidR="00DE4566">
        <w:rPr>
          <w:rFonts w:eastAsia="Arial"/>
        </w:rPr>
        <w:tab/>
      </w:r>
      <w:r w:rsidRPr="00557ED2">
        <w:rPr>
          <w:rFonts w:eastAsia="Arial"/>
        </w:rPr>
        <w:t xml:space="preserve"> Odbiór międzyoperacyjny</w:t>
      </w:r>
    </w:p>
    <w:p w:rsidR="00A915D3" w:rsidRPr="00557ED2" w:rsidRDefault="00A915D3" w:rsidP="00DE4566">
      <w:r w:rsidRPr="00557ED2">
        <w:rPr>
          <w:rFonts w:eastAsia="Arial"/>
        </w:rPr>
        <w:t>Odbiór międzyoperacyjny przeprowadzany jest po zakończeniu danego etapu robót mających wpływ na wykonanie dalszych prac.</w:t>
      </w:r>
    </w:p>
    <w:p w:rsidR="00A915D3" w:rsidRPr="00557ED2" w:rsidRDefault="00A915D3" w:rsidP="001F7DAE">
      <w:pPr>
        <w:ind w:firstLine="0"/>
        <w:rPr>
          <w:rFonts w:cstheme="minorHAnsi"/>
          <w:szCs w:val="20"/>
        </w:rPr>
      </w:pPr>
      <w:r w:rsidRPr="00557ED2">
        <w:rPr>
          <w:rFonts w:eastAsia="Arial" w:cstheme="minorHAnsi"/>
          <w:szCs w:val="20"/>
        </w:rPr>
        <w:t>Odbiorowi takiemu podlegają m.in.:</w:t>
      </w:r>
    </w:p>
    <w:p w:rsidR="00A915D3" w:rsidRPr="00557ED2" w:rsidRDefault="00A915D3" w:rsidP="00DE4566">
      <w:pPr>
        <w:ind w:left="567" w:hanging="283"/>
        <w:rPr>
          <w:rFonts w:cstheme="minorHAnsi"/>
          <w:szCs w:val="20"/>
        </w:rPr>
      </w:pPr>
      <w:r w:rsidRPr="00557ED2">
        <w:rPr>
          <w:rFonts w:eastAsia="Arial" w:cstheme="minorHAnsi"/>
          <w:szCs w:val="20"/>
        </w:rPr>
        <w:t>–  wykonanie i montaż konstrukcji,</w:t>
      </w:r>
    </w:p>
    <w:p w:rsidR="00A915D3" w:rsidRPr="00557ED2" w:rsidRDefault="00A915D3" w:rsidP="00DE4566">
      <w:pPr>
        <w:ind w:left="567" w:hanging="283"/>
        <w:rPr>
          <w:rFonts w:cstheme="minorHAnsi"/>
          <w:szCs w:val="20"/>
        </w:rPr>
      </w:pPr>
      <w:r w:rsidRPr="00557ED2">
        <w:rPr>
          <w:rFonts w:eastAsia="Arial" w:cstheme="minorHAnsi"/>
          <w:szCs w:val="20"/>
        </w:rPr>
        <w:lastRenderedPageBreak/>
        <w:t>–  ustawienie na stanowiskach aparatów, urządzeń z przynależną do stosowania aparaturą,</w:t>
      </w:r>
    </w:p>
    <w:p w:rsidR="00A915D3" w:rsidRPr="00557ED2" w:rsidRDefault="00A915D3" w:rsidP="00DE4566">
      <w:pPr>
        <w:ind w:left="567" w:hanging="283"/>
        <w:rPr>
          <w:rFonts w:cstheme="minorHAnsi"/>
          <w:szCs w:val="20"/>
        </w:rPr>
      </w:pPr>
      <w:r w:rsidRPr="00557ED2">
        <w:rPr>
          <w:rFonts w:eastAsia="Arial" w:cstheme="minorHAnsi"/>
          <w:szCs w:val="20"/>
        </w:rPr>
        <w:t>–  ustawienie tablic sterowniczych i przekaźnikowych w nastawni,</w:t>
      </w:r>
    </w:p>
    <w:p w:rsidR="00A915D3" w:rsidRPr="00557ED2" w:rsidRDefault="00A915D3" w:rsidP="00DE4566">
      <w:pPr>
        <w:ind w:left="567" w:hanging="283"/>
        <w:rPr>
          <w:rFonts w:cstheme="minorHAnsi"/>
          <w:szCs w:val="20"/>
        </w:rPr>
      </w:pPr>
      <w:r w:rsidRPr="00557ED2">
        <w:rPr>
          <w:rFonts w:eastAsia="Arial" w:cstheme="minorHAnsi"/>
          <w:szCs w:val="20"/>
        </w:rPr>
        <w:t>–  ustawienie rozdzielnicy,</w:t>
      </w:r>
    </w:p>
    <w:p w:rsidR="00A915D3" w:rsidRPr="00557ED2" w:rsidRDefault="00A915D3" w:rsidP="00DE4566">
      <w:pPr>
        <w:ind w:left="567" w:hanging="283"/>
        <w:rPr>
          <w:rFonts w:cstheme="minorHAnsi"/>
          <w:szCs w:val="20"/>
        </w:rPr>
      </w:pPr>
      <w:r w:rsidRPr="00557ED2">
        <w:rPr>
          <w:rFonts w:eastAsia="Arial" w:cstheme="minorHAnsi"/>
          <w:szCs w:val="20"/>
        </w:rPr>
        <w:t>–  obwody zewnętrzne główne i pomocnicze,</w:t>
      </w:r>
    </w:p>
    <w:p w:rsidR="00A915D3" w:rsidRPr="00557ED2" w:rsidRDefault="00A915D3" w:rsidP="00DE4566">
      <w:pPr>
        <w:ind w:left="567" w:hanging="283"/>
        <w:rPr>
          <w:rFonts w:cstheme="minorHAnsi"/>
          <w:szCs w:val="20"/>
        </w:rPr>
      </w:pPr>
      <w:r w:rsidRPr="00557ED2">
        <w:rPr>
          <w:rFonts w:eastAsia="Arial" w:cstheme="minorHAnsi"/>
          <w:szCs w:val="20"/>
        </w:rPr>
        <w:t>–  instalacje oświetleniowe, grzejne, telefoniczne i inne.</w:t>
      </w:r>
    </w:p>
    <w:p w:rsidR="00A915D3" w:rsidRPr="00557ED2" w:rsidRDefault="00A915D3" w:rsidP="00DE4566">
      <w:r w:rsidRPr="00557ED2">
        <w:rPr>
          <w:rFonts w:eastAsia="Arial"/>
        </w:rPr>
        <w:t xml:space="preserve">8.2.2. </w:t>
      </w:r>
      <w:r w:rsidR="00DE4566">
        <w:rPr>
          <w:rFonts w:eastAsia="Arial"/>
        </w:rPr>
        <w:tab/>
      </w:r>
      <w:r w:rsidRPr="00557ED2">
        <w:rPr>
          <w:rFonts w:eastAsia="Arial"/>
        </w:rPr>
        <w:t xml:space="preserve"> Odbiór częściowy</w:t>
      </w:r>
    </w:p>
    <w:p w:rsidR="00A915D3" w:rsidRPr="00557ED2" w:rsidRDefault="00A915D3" w:rsidP="00DE4566">
      <w:r w:rsidRPr="00557ED2">
        <w:rPr>
          <w:rFonts w:eastAsia="Arial"/>
        </w:rPr>
        <w:t xml:space="preserve">Należy przeprowadzić badanie </w:t>
      </w:r>
      <w:proofErr w:type="spellStart"/>
      <w:r w:rsidRPr="00557ED2">
        <w:rPr>
          <w:rFonts w:eastAsia="Arial"/>
        </w:rPr>
        <w:t>pomontażowe</w:t>
      </w:r>
      <w:proofErr w:type="spellEnd"/>
      <w:r w:rsidRPr="00557ED2">
        <w:rPr>
          <w:rFonts w:eastAsia="Arial"/>
        </w:rPr>
        <w:t xml:space="preserve"> częściowe robót zanikających oraz elementów urządzeń, które ulegają zakryciu, uniemożliwiając ocenę prawidłowości ich wykonania po całkowitym ukończeniu prac.</w:t>
      </w:r>
    </w:p>
    <w:p w:rsidR="00A915D3" w:rsidRPr="00557ED2" w:rsidRDefault="00A915D3" w:rsidP="00DE4566">
      <w:r w:rsidRPr="00557ED2">
        <w:rPr>
          <w:rFonts w:eastAsia="Arial"/>
        </w:rPr>
        <w:t>Podczas odbioru należy sprawdzić prawidłowość montażu oraz zgodność z obowiązującymi przepisami i projektem:</w:t>
      </w:r>
    </w:p>
    <w:p w:rsidR="00A915D3" w:rsidRPr="00557ED2" w:rsidRDefault="00A915D3" w:rsidP="00DE4566">
      <w:pPr>
        <w:ind w:left="567" w:hanging="283"/>
        <w:rPr>
          <w:rFonts w:cstheme="minorHAnsi"/>
          <w:szCs w:val="20"/>
        </w:rPr>
      </w:pPr>
      <w:r w:rsidRPr="00557ED2">
        <w:rPr>
          <w:rFonts w:eastAsia="Arial" w:cstheme="minorHAnsi"/>
          <w:szCs w:val="20"/>
        </w:rPr>
        <w:t>–  instalacji wtynkowych i podtynkowych,</w:t>
      </w:r>
    </w:p>
    <w:p w:rsidR="00A915D3" w:rsidRPr="00557ED2" w:rsidRDefault="00A915D3" w:rsidP="00DE4566">
      <w:pPr>
        <w:ind w:left="567" w:hanging="283"/>
        <w:rPr>
          <w:rFonts w:cstheme="minorHAnsi"/>
          <w:szCs w:val="20"/>
        </w:rPr>
      </w:pPr>
      <w:r w:rsidRPr="00557ED2">
        <w:rPr>
          <w:rFonts w:eastAsia="Arial" w:cstheme="minorHAnsi"/>
          <w:szCs w:val="20"/>
        </w:rPr>
        <w:t>–  sieci uziemiającej, kablowej i odwadniającej układanej bezpośrednio w ziemi,</w:t>
      </w:r>
    </w:p>
    <w:p w:rsidR="00A915D3" w:rsidRPr="00557ED2" w:rsidRDefault="00A915D3" w:rsidP="00DE4566">
      <w:pPr>
        <w:ind w:left="567" w:hanging="283"/>
        <w:rPr>
          <w:rFonts w:cstheme="minorHAnsi"/>
          <w:szCs w:val="20"/>
        </w:rPr>
      </w:pPr>
      <w:r w:rsidRPr="00557ED2">
        <w:rPr>
          <w:rFonts w:eastAsia="Arial" w:cstheme="minorHAnsi"/>
          <w:szCs w:val="20"/>
        </w:rPr>
        <w:t>–  fundamentów, uziomów fundamentowych i przepustów umieszczonych w fundamentach.</w:t>
      </w:r>
    </w:p>
    <w:p w:rsidR="00A915D3" w:rsidRPr="00557ED2" w:rsidRDefault="00A915D3" w:rsidP="00DE4566">
      <w:r w:rsidRPr="00557ED2">
        <w:rPr>
          <w:rFonts w:eastAsia="Arial"/>
        </w:rPr>
        <w:t xml:space="preserve">8.2.3. </w:t>
      </w:r>
      <w:r w:rsidR="00DE4566">
        <w:rPr>
          <w:rFonts w:eastAsia="Arial"/>
        </w:rPr>
        <w:tab/>
      </w:r>
      <w:r w:rsidRPr="00557ED2">
        <w:rPr>
          <w:rFonts w:eastAsia="Arial"/>
        </w:rPr>
        <w:t xml:space="preserve"> Odbiór końcowy</w:t>
      </w:r>
    </w:p>
    <w:p w:rsidR="00A915D3" w:rsidRPr="00557ED2" w:rsidRDefault="00A915D3" w:rsidP="00DE4566">
      <w:r w:rsidRPr="00557ED2">
        <w:rPr>
          <w:rFonts w:eastAsia="Arial"/>
        </w:rPr>
        <w:t xml:space="preserve">Badania </w:t>
      </w:r>
      <w:proofErr w:type="spellStart"/>
      <w:r w:rsidRPr="00557ED2">
        <w:rPr>
          <w:rFonts w:eastAsia="Arial"/>
        </w:rPr>
        <w:t>pomontażowe</w:t>
      </w:r>
      <w:proofErr w:type="spellEnd"/>
      <w:r w:rsidRPr="00557ED2">
        <w:rPr>
          <w:rFonts w:eastAsia="Arial"/>
        </w:rPr>
        <w:t xml:space="preserve"> jako techniczne sprawdzenie jakości wykonanych robót należy przeprowadzić po zakończeniu robót elektrycznych przed przekazaniem użytkownikowi urządzeń zasilających.</w:t>
      </w:r>
    </w:p>
    <w:p w:rsidR="00A915D3" w:rsidRPr="00557ED2" w:rsidRDefault="00A915D3" w:rsidP="00DE4566">
      <w:r w:rsidRPr="00557ED2">
        <w:rPr>
          <w:rFonts w:eastAsia="Arial"/>
        </w:rPr>
        <w:t>Zakres badań obejmuje sprawdzenie:</w:t>
      </w:r>
    </w:p>
    <w:p w:rsidR="00A915D3" w:rsidRPr="00557ED2" w:rsidRDefault="00A915D3" w:rsidP="00DE4566">
      <w:pPr>
        <w:ind w:left="567" w:hanging="283"/>
        <w:rPr>
          <w:rFonts w:cstheme="minorHAnsi"/>
          <w:szCs w:val="20"/>
        </w:rPr>
      </w:pPr>
      <w:r w:rsidRPr="00557ED2">
        <w:rPr>
          <w:rFonts w:eastAsia="Arial" w:cstheme="minorHAnsi"/>
          <w:szCs w:val="20"/>
        </w:rPr>
        <w:t>–  izolacji torów głównych,</w:t>
      </w:r>
    </w:p>
    <w:p w:rsidR="00A915D3" w:rsidRPr="00557ED2" w:rsidRDefault="00A915D3" w:rsidP="00DE4566">
      <w:pPr>
        <w:ind w:left="567" w:hanging="283"/>
        <w:rPr>
          <w:rFonts w:cstheme="minorHAnsi"/>
          <w:szCs w:val="20"/>
        </w:rPr>
      </w:pPr>
      <w:r w:rsidRPr="00557ED2">
        <w:rPr>
          <w:rFonts w:eastAsia="Arial" w:cstheme="minorHAnsi"/>
          <w:szCs w:val="20"/>
        </w:rPr>
        <w:t>–  izolacji torów pomocniczych,</w:t>
      </w:r>
    </w:p>
    <w:p w:rsidR="00A915D3" w:rsidRPr="00557ED2" w:rsidRDefault="00A915D3" w:rsidP="00DE4566">
      <w:pPr>
        <w:ind w:left="567" w:hanging="283"/>
        <w:rPr>
          <w:rFonts w:cstheme="minorHAnsi"/>
          <w:szCs w:val="20"/>
        </w:rPr>
      </w:pPr>
      <w:r w:rsidRPr="00557ED2">
        <w:rPr>
          <w:rFonts w:eastAsia="Arial" w:cstheme="minorHAnsi"/>
          <w:szCs w:val="20"/>
        </w:rPr>
        <w:t>–  działania funkcjonalnego obwodów pomocniczych,</w:t>
      </w:r>
    </w:p>
    <w:p w:rsidR="00A915D3" w:rsidRPr="00557ED2" w:rsidRDefault="00A915D3" w:rsidP="00DE4566">
      <w:pPr>
        <w:ind w:left="567" w:hanging="283"/>
        <w:rPr>
          <w:rFonts w:cstheme="minorHAnsi"/>
          <w:szCs w:val="20"/>
        </w:rPr>
      </w:pPr>
      <w:r w:rsidRPr="00557ED2">
        <w:rPr>
          <w:rFonts w:eastAsia="Arial" w:cstheme="minorHAnsi"/>
          <w:szCs w:val="20"/>
        </w:rPr>
        <w:t>–  działania mechanicznego łączników, blokad itp.,</w:t>
      </w:r>
    </w:p>
    <w:p w:rsidR="00A915D3" w:rsidRPr="00557ED2" w:rsidRDefault="00A915D3" w:rsidP="00DE4566">
      <w:pPr>
        <w:ind w:left="567" w:hanging="283"/>
        <w:rPr>
          <w:rFonts w:cstheme="minorHAnsi"/>
          <w:szCs w:val="20"/>
        </w:rPr>
      </w:pPr>
      <w:r w:rsidRPr="00557ED2">
        <w:rPr>
          <w:rFonts w:eastAsia="Arial" w:cstheme="minorHAnsi"/>
          <w:szCs w:val="20"/>
        </w:rPr>
        <w:t>–  instalacji ochronnej.</w:t>
      </w:r>
    </w:p>
    <w:p w:rsidR="00A915D3" w:rsidRPr="00557ED2" w:rsidRDefault="00A915D3" w:rsidP="00DE4566">
      <w:r w:rsidRPr="00557ED2">
        <w:rPr>
          <w:rFonts w:eastAsia="Arial"/>
        </w:rPr>
        <w:t>Parametry badań oraz sposób przeprowadzenia badań są określone w normach PN-IEC 60364-6-61:2000 i PN-E-04700:1998/Az1:2000.</w:t>
      </w:r>
    </w:p>
    <w:p w:rsidR="00A915D3" w:rsidRPr="00557ED2" w:rsidRDefault="00A915D3" w:rsidP="00DE4566">
      <w:r w:rsidRPr="00557ED2">
        <w:rPr>
          <w:rFonts w:eastAsia="Arial"/>
        </w:rPr>
        <w:t xml:space="preserve">Badania napięciem probierczym wykonuje się tylko jeden raz. Jeżeli producent dostarczył protokół z tych badań, rozdzielnice o napięciu do 1 </w:t>
      </w:r>
      <w:proofErr w:type="spellStart"/>
      <w:r w:rsidRPr="00557ED2">
        <w:rPr>
          <w:rFonts w:eastAsia="Arial"/>
        </w:rPr>
        <w:t>kV</w:t>
      </w:r>
      <w:proofErr w:type="spellEnd"/>
      <w:r w:rsidRPr="00557ED2">
        <w:rPr>
          <w:rFonts w:eastAsia="Arial"/>
        </w:rPr>
        <w:t xml:space="preserve"> sprawdza się – induktorem, sprawdzając tylko rezystancję izolacji.</w:t>
      </w:r>
    </w:p>
    <w:p w:rsidR="00A915D3" w:rsidRPr="00557ED2" w:rsidRDefault="00A915D3" w:rsidP="00DE4566">
      <w:r w:rsidRPr="00557ED2">
        <w:rPr>
          <w:rFonts w:eastAsia="Arial"/>
        </w:rPr>
        <w:t>Badania działania obwodów pomocniczych polegają na sprawdzeniu prawidłowości działania układów zabezpieczeń, sterowania, sygnalizacji, blokad, automatyki i samoczynnego załączania rezerwy.</w:t>
      </w:r>
    </w:p>
    <w:p w:rsidR="00A915D3" w:rsidRPr="00557ED2" w:rsidRDefault="00A915D3" w:rsidP="00DE4566">
      <w:r w:rsidRPr="00557ED2">
        <w:rPr>
          <w:rFonts w:eastAsia="Arial"/>
        </w:rPr>
        <w:t>Badania działania mechanicznego łączników, blokad itp. wykonuje się na napędach łączników oraz związanych z nimi blokadach mechanicznych. Należy wykonać 5 normalnych cykli roboczych (zamknięcie – otwarcie) każdego łącznika.</w:t>
      </w:r>
    </w:p>
    <w:p w:rsidR="00A915D3" w:rsidRPr="00557ED2" w:rsidRDefault="00A915D3" w:rsidP="00DE4566">
      <w:bookmarkStart w:id="43" w:name="page20"/>
      <w:bookmarkEnd w:id="43"/>
      <w:r w:rsidRPr="00557ED2">
        <w:rPr>
          <w:rFonts w:eastAsia="Arial"/>
        </w:rPr>
        <w:t>W rozdzielnicach dwuczłonowych należy wykonać 5 cykli przestawień każdego członu ruchomego – od stanu pracy do stanu spoczynku (próby) i od stanu spoczynku (próby) do stanu pracy.</w:t>
      </w:r>
    </w:p>
    <w:p w:rsidR="00A915D3" w:rsidRPr="00557ED2" w:rsidRDefault="00A915D3" w:rsidP="00DE4566">
      <w:r w:rsidRPr="00557ED2">
        <w:rPr>
          <w:rFonts w:eastAsia="Arial"/>
        </w:rPr>
        <w:t>Łączniki sterujące wyposażeniem członu należy zamykać i otwierać w stanie pracy i w stanie próby. W trakcie próby trzeba także sprawdzić prawidłowe działanie blokad tego członu.</w:t>
      </w:r>
    </w:p>
    <w:p w:rsidR="00A915D3" w:rsidRDefault="00A915D3" w:rsidP="00DE4566">
      <w:pPr>
        <w:rPr>
          <w:rFonts w:eastAsia="Arial"/>
        </w:rPr>
      </w:pPr>
      <w:r w:rsidRPr="00557ED2">
        <w:rPr>
          <w:rFonts w:eastAsia="Arial"/>
        </w:rPr>
        <w:t>Badania należy przeprowadzić według instrukcji rozdzielnicy. Wyniki badań trzeba zamieścić w protokole odbioru końcowego.</w:t>
      </w:r>
    </w:p>
    <w:p w:rsidR="00A915D3" w:rsidRPr="00557ED2" w:rsidRDefault="00A915D3" w:rsidP="00DE4566">
      <w:pPr>
        <w:pStyle w:val="Nagwek1"/>
      </w:pPr>
      <w:bookmarkStart w:id="44" w:name="_Toc498463020"/>
      <w:r w:rsidRPr="00557ED2">
        <w:lastRenderedPageBreak/>
        <w:t>PODSTAWA ROZLICZENIA ROBÓT</w:t>
      </w:r>
      <w:bookmarkEnd w:id="44"/>
    </w:p>
    <w:p w:rsidR="00A915D3" w:rsidRPr="00557ED2" w:rsidRDefault="00A915D3" w:rsidP="00DE4566">
      <w:pPr>
        <w:pStyle w:val="Nagwek2"/>
      </w:pPr>
      <w:bookmarkStart w:id="45" w:name="_Toc498463021"/>
      <w:r w:rsidRPr="00557ED2">
        <w:rPr>
          <w:rFonts w:eastAsia="Arial"/>
        </w:rPr>
        <w:t>9.1. Ogólne ustalenia dotyczące podstawy rozliczenia robót podano w ST „Wymagania ogólne” , pkt 9</w:t>
      </w:r>
      <w:bookmarkEnd w:id="45"/>
    </w:p>
    <w:p w:rsidR="00A915D3" w:rsidRPr="00557ED2" w:rsidRDefault="00A915D3" w:rsidP="00DE4566">
      <w:pPr>
        <w:pStyle w:val="Nagwek2"/>
      </w:pPr>
      <w:bookmarkStart w:id="46" w:name="_Toc498463022"/>
      <w:r w:rsidRPr="00557ED2">
        <w:rPr>
          <w:rFonts w:eastAsia="Arial"/>
        </w:rPr>
        <w:t>9.2. Zasady rozliczenia i płatności</w:t>
      </w:r>
      <w:bookmarkEnd w:id="46"/>
    </w:p>
    <w:p w:rsidR="00A915D3" w:rsidRPr="00557ED2" w:rsidRDefault="00A915D3" w:rsidP="00DE4566">
      <w:r w:rsidRPr="00557ED2">
        <w:rPr>
          <w:rFonts w:eastAsia="Arial"/>
        </w:rPr>
        <w:t>Rozliczenie robót montażowych i prefabrykacyjnych rozdzielnic może być dokonane jednorazowo po wykonaniu pełnego zakresu robót i ich końcowym odbiorze lub etapami określonymi w umowie, po dokonaniu odbiorów częściowych robót.</w:t>
      </w:r>
    </w:p>
    <w:p w:rsidR="00A915D3" w:rsidRPr="00557ED2" w:rsidRDefault="00A915D3" w:rsidP="00DE4566">
      <w:r w:rsidRPr="00557ED2">
        <w:rPr>
          <w:rFonts w:eastAsia="Arial"/>
        </w:rPr>
        <w:t>Ostateczne rozliczenie umowy pomiędzy zamawiającym a wykonawcą następuje po dokonaniu odbioru pogwarancyjnego.</w:t>
      </w:r>
    </w:p>
    <w:p w:rsidR="00A915D3" w:rsidRPr="00557ED2" w:rsidRDefault="00A915D3" w:rsidP="00DE4566">
      <w:r w:rsidRPr="00557ED2">
        <w:rPr>
          <w:rFonts w:eastAsia="Arial"/>
        </w:rPr>
        <w:t>Podstawę rozliczenia oraz płatności wykonanego i odebranego zakresu robót stanowi wartość tych robót obliczona na podstawie:</w:t>
      </w:r>
    </w:p>
    <w:p w:rsidR="00A915D3" w:rsidRPr="00557ED2" w:rsidRDefault="00A915D3" w:rsidP="00DE4566">
      <w:pPr>
        <w:ind w:left="567" w:right="80" w:hanging="283"/>
        <w:rPr>
          <w:rFonts w:cstheme="minorHAnsi"/>
          <w:szCs w:val="20"/>
        </w:rPr>
      </w:pPr>
      <w:r w:rsidRPr="00557ED2">
        <w:rPr>
          <w:rFonts w:eastAsia="Arial" w:cstheme="minorHAnsi"/>
          <w:szCs w:val="20"/>
        </w:rPr>
        <w:t>– określonych w dokumentach umownych (ofercie) cen jednostkowych i ilości robót zaakceptowanych przez zamawiającego lub</w:t>
      </w:r>
    </w:p>
    <w:p w:rsidR="00A915D3" w:rsidRPr="00557ED2" w:rsidRDefault="00A915D3" w:rsidP="00DE4566">
      <w:pPr>
        <w:ind w:left="567" w:hanging="283"/>
        <w:rPr>
          <w:rFonts w:cstheme="minorHAnsi"/>
          <w:szCs w:val="20"/>
        </w:rPr>
      </w:pPr>
      <w:r w:rsidRPr="00557ED2">
        <w:rPr>
          <w:rFonts w:eastAsia="Arial" w:cstheme="minorHAnsi"/>
          <w:szCs w:val="20"/>
        </w:rPr>
        <w:t>–  ustalonej w umowie kwoty ryczałtowej za określony zakres robót.</w:t>
      </w:r>
    </w:p>
    <w:p w:rsidR="00A915D3" w:rsidRPr="00557ED2" w:rsidRDefault="00A915D3" w:rsidP="00DE4566">
      <w:r w:rsidRPr="00557ED2">
        <w:rPr>
          <w:rFonts w:eastAsia="Arial"/>
        </w:rPr>
        <w:t>Ceny jednostkowe wykonania, montażu i prefabrykacji rozdzielnic lub kwoty ryczałtowe obejmujące roboty ww. uwzględniają:</w:t>
      </w:r>
    </w:p>
    <w:p w:rsidR="00A915D3" w:rsidRPr="00557ED2" w:rsidRDefault="00A915D3" w:rsidP="001F7DAE">
      <w:pPr>
        <w:ind w:firstLine="0"/>
        <w:rPr>
          <w:rFonts w:cstheme="minorHAnsi"/>
          <w:szCs w:val="20"/>
        </w:rPr>
      </w:pPr>
      <w:r w:rsidRPr="00557ED2">
        <w:rPr>
          <w:rFonts w:eastAsia="Arial" w:cstheme="minorHAnsi"/>
          <w:szCs w:val="20"/>
        </w:rPr>
        <w:t>–  przygotowanie stanowiska roboczego,</w:t>
      </w:r>
    </w:p>
    <w:p w:rsidR="00A915D3" w:rsidRPr="00557ED2" w:rsidRDefault="00A915D3" w:rsidP="00DE4566">
      <w:pPr>
        <w:ind w:left="567" w:hanging="283"/>
        <w:rPr>
          <w:rFonts w:cstheme="minorHAnsi"/>
          <w:szCs w:val="20"/>
        </w:rPr>
      </w:pPr>
      <w:r w:rsidRPr="00557ED2">
        <w:rPr>
          <w:rFonts w:eastAsia="Arial" w:cstheme="minorHAnsi"/>
          <w:szCs w:val="20"/>
        </w:rPr>
        <w:t>–  dostarczenie do stanowiska roboczego materiałów, narzędzi i sprzętu,</w:t>
      </w:r>
    </w:p>
    <w:p w:rsidR="00A915D3" w:rsidRPr="00557ED2" w:rsidRDefault="00A915D3" w:rsidP="00DE4566">
      <w:pPr>
        <w:ind w:left="567" w:hanging="283"/>
        <w:rPr>
          <w:rFonts w:cstheme="minorHAnsi"/>
          <w:szCs w:val="20"/>
        </w:rPr>
      </w:pPr>
      <w:r w:rsidRPr="00557ED2">
        <w:rPr>
          <w:rFonts w:eastAsia="Arial" w:cstheme="minorHAnsi"/>
          <w:szCs w:val="20"/>
        </w:rPr>
        <w:t>–  obsługę sprzętu nie posiadającego etatowej obsługi,</w:t>
      </w:r>
    </w:p>
    <w:p w:rsidR="00A915D3" w:rsidRPr="00557ED2" w:rsidRDefault="00A915D3" w:rsidP="00DE4566">
      <w:pPr>
        <w:ind w:left="567" w:right="80" w:hanging="283"/>
        <w:rPr>
          <w:rFonts w:cstheme="minorHAnsi"/>
          <w:szCs w:val="20"/>
        </w:rPr>
      </w:pPr>
      <w:r w:rsidRPr="00557ED2">
        <w:rPr>
          <w:rFonts w:eastAsia="Arial" w:cstheme="minorHAnsi"/>
          <w:szCs w:val="20"/>
        </w:rPr>
        <w:t>– ustawienie i przestawienie drabin oraz lekkich rusztowań przestawnych umożliwiających wykonanie robót na wysokości do 4 m (jeśli taka konieczność występuje),</w:t>
      </w:r>
    </w:p>
    <w:p w:rsidR="00A915D3" w:rsidRPr="00557ED2" w:rsidRDefault="00A915D3" w:rsidP="00DE4566">
      <w:pPr>
        <w:ind w:left="567" w:hanging="283"/>
        <w:rPr>
          <w:rFonts w:cstheme="minorHAnsi"/>
          <w:szCs w:val="20"/>
        </w:rPr>
      </w:pPr>
      <w:r w:rsidRPr="00557ED2">
        <w:rPr>
          <w:rFonts w:eastAsia="Arial" w:cstheme="minorHAnsi"/>
          <w:szCs w:val="20"/>
        </w:rPr>
        <w:t>–  usunięcie wad i usterek oraz naprawienie uszkodzeń powstałych w czasie robót,</w:t>
      </w:r>
    </w:p>
    <w:p w:rsidR="00A915D3" w:rsidRPr="00557ED2" w:rsidRDefault="00A915D3" w:rsidP="00DE4566">
      <w:pPr>
        <w:ind w:left="567" w:hanging="283"/>
        <w:rPr>
          <w:rFonts w:cstheme="minorHAnsi"/>
          <w:szCs w:val="20"/>
        </w:rPr>
      </w:pPr>
      <w:r w:rsidRPr="00557ED2">
        <w:rPr>
          <w:rFonts w:eastAsia="Arial" w:cstheme="minorHAnsi"/>
          <w:szCs w:val="20"/>
        </w:rPr>
        <w:t>–  uporządkowanie miejsca wykonywania robót,</w:t>
      </w:r>
    </w:p>
    <w:p w:rsidR="00A915D3" w:rsidRPr="00557ED2" w:rsidRDefault="00A915D3" w:rsidP="00DE4566">
      <w:pPr>
        <w:ind w:left="567" w:right="80" w:hanging="283"/>
        <w:rPr>
          <w:rFonts w:cstheme="minorHAnsi"/>
          <w:szCs w:val="20"/>
        </w:rPr>
      </w:pPr>
      <w:r w:rsidRPr="00557ED2">
        <w:rPr>
          <w:rFonts w:eastAsia="Arial" w:cstheme="minorHAnsi"/>
          <w:szCs w:val="20"/>
        </w:rPr>
        <w:t>– usunięcie pozostałości, resztek i odpadów materiałów w sposób podany w specyfikacji technicznej szczegółowej,</w:t>
      </w:r>
    </w:p>
    <w:p w:rsidR="00A915D3" w:rsidRPr="00557ED2" w:rsidRDefault="00A915D3" w:rsidP="00DE4566">
      <w:pPr>
        <w:ind w:left="567" w:hanging="283"/>
        <w:rPr>
          <w:rFonts w:cstheme="minorHAnsi"/>
          <w:szCs w:val="20"/>
        </w:rPr>
      </w:pPr>
      <w:r w:rsidRPr="00557ED2">
        <w:rPr>
          <w:rFonts w:eastAsia="Arial" w:cstheme="minorHAnsi"/>
          <w:szCs w:val="20"/>
        </w:rPr>
        <w:t>–  likwidację stanowiska roboczego.</w:t>
      </w:r>
    </w:p>
    <w:p w:rsidR="00A915D3" w:rsidRPr="00557ED2" w:rsidRDefault="00A915D3" w:rsidP="00DE4566">
      <w:r w:rsidRPr="00557ED2">
        <w:rPr>
          <w:rFonts w:eastAsia="Arial"/>
        </w:rPr>
        <w:t>W kwotach ryczałtowych ujęte są również koszty montażu, demontażu i pracy rusztowań niezbędnych do wykonania robót na wysokości do 4 m od poziomu terenu.</w:t>
      </w:r>
    </w:p>
    <w:p w:rsidR="00A915D3" w:rsidRPr="00557ED2" w:rsidRDefault="00A915D3" w:rsidP="00DE4566">
      <w:r w:rsidRPr="00557ED2">
        <w:rPr>
          <w:rFonts w:eastAsia="Arial"/>
        </w:rPr>
        <w:t>Przy rozliczaniu robót według uzgodnionych cen jednostkowych koszty niezbędnych rusztowań mogą być uwzględnione w tych cenach lub stanowić podstawę oddzielnej płatności. Sposób rozliczenia kosztów montażu, demontażu i pracy rusztowań koniecznych do wykonywania robót na wysokości powyżej 4 m, należy ustalić w postanowieniach pkt. 9 specyfikacji technicznej (szczegółowej) SST montaż rozdzielnicy elektrycznej, opracowanej dla realizowanego przedmiotu zamówienia.</w:t>
      </w:r>
    </w:p>
    <w:p w:rsidR="00A915D3" w:rsidRPr="00557ED2" w:rsidRDefault="00A915D3" w:rsidP="00DE4566">
      <w:pPr>
        <w:pStyle w:val="Nagwek1"/>
      </w:pPr>
      <w:bookmarkStart w:id="47" w:name="_Toc498463023"/>
      <w:r w:rsidRPr="00557ED2">
        <w:t>DOKUMENTY ODNIESIENIA</w:t>
      </w:r>
      <w:bookmarkEnd w:id="47"/>
    </w:p>
    <w:p w:rsidR="00A915D3" w:rsidRPr="00557ED2" w:rsidRDefault="00A915D3" w:rsidP="00DE4566">
      <w:pPr>
        <w:pStyle w:val="Nagwek2"/>
      </w:pPr>
      <w:bookmarkStart w:id="48" w:name="_Toc498463024"/>
      <w:r w:rsidRPr="00557ED2">
        <w:rPr>
          <w:rFonts w:eastAsia="Arial"/>
        </w:rPr>
        <w:t>10.1. Normy</w:t>
      </w:r>
      <w:bookmarkEnd w:id="48"/>
    </w:p>
    <w:p w:rsidR="00A915D3" w:rsidRPr="00557ED2" w:rsidRDefault="00A915D3" w:rsidP="001F7DAE">
      <w:pPr>
        <w:ind w:firstLine="0"/>
        <w:rPr>
          <w:rFonts w:cstheme="minorHAnsi"/>
          <w:szCs w:val="20"/>
        </w:rPr>
      </w:pPr>
    </w:p>
    <w:tbl>
      <w:tblPr>
        <w:tblW w:w="9240" w:type="dxa"/>
        <w:tblLayout w:type="fixed"/>
        <w:tblCellMar>
          <w:left w:w="0" w:type="dxa"/>
          <w:right w:w="0" w:type="dxa"/>
        </w:tblCellMar>
        <w:tblLook w:val="04A0"/>
      </w:tblPr>
      <w:tblGrid>
        <w:gridCol w:w="9240"/>
      </w:tblGrid>
      <w:tr w:rsidR="00DE4566" w:rsidRPr="00557ED2" w:rsidTr="009545D2">
        <w:trPr>
          <w:trHeight w:val="519"/>
        </w:trPr>
        <w:tc>
          <w:tcPr>
            <w:tcW w:w="9240" w:type="dxa"/>
            <w:vAlign w:val="bottom"/>
          </w:tcPr>
          <w:p w:rsidR="00DE4566" w:rsidRPr="00DE4566" w:rsidRDefault="00DE4566" w:rsidP="009545D2">
            <w:pPr>
              <w:pStyle w:val="Akapitzlist"/>
              <w:numPr>
                <w:ilvl w:val="0"/>
                <w:numId w:val="37"/>
              </w:numPr>
              <w:ind w:left="284" w:right="350" w:hanging="284"/>
              <w:rPr>
                <w:rFonts w:cstheme="minorHAnsi"/>
                <w:szCs w:val="20"/>
              </w:rPr>
            </w:pPr>
            <w:r>
              <w:rPr>
                <w:rFonts w:eastAsia="Arial" w:cstheme="minorHAnsi"/>
                <w:szCs w:val="20"/>
              </w:rPr>
              <w:t>P</w:t>
            </w:r>
            <w:r w:rsidRPr="00DE4566">
              <w:rPr>
                <w:rFonts w:eastAsia="Arial" w:cstheme="minorHAnsi"/>
                <w:szCs w:val="20"/>
              </w:rPr>
              <w:t>N-E-04700:1998/Az1:2000 Urządzenia  i  układy  elektryczne  w  obiektach</w:t>
            </w:r>
            <w:r w:rsidR="009545D2">
              <w:rPr>
                <w:rFonts w:eastAsia="Arial" w:cstheme="minorHAnsi"/>
                <w:szCs w:val="20"/>
              </w:rPr>
              <w:t xml:space="preserve"> </w:t>
            </w:r>
            <w:r w:rsidRPr="00DE4566">
              <w:rPr>
                <w:rFonts w:eastAsia="Arial" w:cstheme="minorHAnsi"/>
                <w:szCs w:val="20"/>
              </w:rPr>
              <w:t>elektroenergetycznych.  Wytyczne  przeprowadzania</w:t>
            </w:r>
            <w:r w:rsidR="009545D2">
              <w:rPr>
                <w:rFonts w:eastAsia="Arial" w:cstheme="minorHAnsi"/>
                <w:szCs w:val="20"/>
              </w:rPr>
              <w:t xml:space="preserve"> </w:t>
            </w:r>
            <w:proofErr w:type="spellStart"/>
            <w:r w:rsidR="009545D2">
              <w:rPr>
                <w:rFonts w:eastAsia="Arial" w:cstheme="minorHAnsi"/>
                <w:szCs w:val="20"/>
              </w:rPr>
              <w:t>pomontażowych</w:t>
            </w:r>
            <w:proofErr w:type="spellEnd"/>
            <w:r w:rsidR="009545D2">
              <w:rPr>
                <w:rFonts w:eastAsia="Arial" w:cstheme="minorHAnsi"/>
                <w:szCs w:val="20"/>
              </w:rPr>
              <w:t xml:space="preserve"> badań odbiorczych.</w:t>
            </w:r>
          </w:p>
        </w:tc>
      </w:tr>
      <w:tr w:rsidR="00DE4566" w:rsidRPr="00557ED2" w:rsidTr="009545D2">
        <w:trPr>
          <w:trHeight w:val="471"/>
        </w:trPr>
        <w:tc>
          <w:tcPr>
            <w:tcW w:w="9240" w:type="dxa"/>
            <w:vAlign w:val="bottom"/>
          </w:tcPr>
          <w:p w:rsidR="00DE4566" w:rsidRPr="00DE4566" w:rsidRDefault="00DE4566" w:rsidP="009545D2">
            <w:pPr>
              <w:pStyle w:val="Akapitzlist"/>
              <w:numPr>
                <w:ilvl w:val="0"/>
                <w:numId w:val="37"/>
              </w:numPr>
              <w:ind w:left="284" w:right="350" w:hanging="284"/>
              <w:rPr>
                <w:rFonts w:cstheme="minorHAnsi"/>
                <w:szCs w:val="20"/>
              </w:rPr>
            </w:pPr>
            <w:r w:rsidRPr="00DE4566">
              <w:rPr>
                <w:rFonts w:eastAsia="Arial" w:cstheme="minorHAnsi"/>
                <w:szCs w:val="20"/>
              </w:rPr>
              <w:t>PN-E-05163:2002 Rozdzielnice i sterownice niskonapięciowe osłonięte. Wytyczne  badania  w  warunkach   wyładowania łukowego, powstałego w wyniku zwarcia wewnętrznego.</w:t>
            </w:r>
          </w:p>
        </w:tc>
      </w:tr>
      <w:tr w:rsidR="00DE4566" w:rsidRPr="00557ED2" w:rsidTr="009545D2">
        <w:trPr>
          <w:trHeight w:val="651"/>
        </w:trPr>
        <w:tc>
          <w:tcPr>
            <w:tcW w:w="9240" w:type="dxa"/>
            <w:vAlign w:val="bottom"/>
          </w:tcPr>
          <w:p w:rsidR="00DE4566" w:rsidRPr="009545D2" w:rsidRDefault="00DE4566" w:rsidP="009545D2">
            <w:pPr>
              <w:pStyle w:val="Akapitzlist"/>
              <w:numPr>
                <w:ilvl w:val="0"/>
                <w:numId w:val="37"/>
              </w:numPr>
              <w:ind w:left="284" w:right="350" w:hanging="284"/>
              <w:rPr>
                <w:rFonts w:cstheme="minorHAnsi"/>
                <w:szCs w:val="20"/>
              </w:rPr>
            </w:pPr>
            <w:bookmarkStart w:id="49" w:name="page21"/>
            <w:bookmarkEnd w:id="49"/>
            <w:r w:rsidRPr="009545D2">
              <w:rPr>
                <w:rFonts w:eastAsia="Arial" w:cstheme="minorHAnsi"/>
                <w:szCs w:val="20"/>
              </w:rPr>
              <w:t>PN-EN 50274:2004</w:t>
            </w:r>
            <w:r w:rsidR="009545D2" w:rsidRPr="009545D2">
              <w:rPr>
                <w:rFonts w:eastAsia="Arial" w:cstheme="minorHAnsi"/>
                <w:szCs w:val="20"/>
              </w:rPr>
              <w:t xml:space="preserve"> </w:t>
            </w:r>
            <w:r w:rsidRPr="009545D2">
              <w:rPr>
                <w:rFonts w:eastAsia="Arial" w:cstheme="minorHAnsi"/>
                <w:szCs w:val="20"/>
              </w:rPr>
              <w:t>Rozdzielnice i sterownice niskonapięciowe. Ochrona</w:t>
            </w:r>
            <w:r w:rsidR="009545D2" w:rsidRPr="009545D2">
              <w:rPr>
                <w:rFonts w:eastAsia="Arial" w:cstheme="minorHAnsi"/>
                <w:szCs w:val="20"/>
              </w:rPr>
              <w:t xml:space="preserve"> </w:t>
            </w:r>
            <w:r w:rsidRPr="009545D2">
              <w:rPr>
                <w:rFonts w:eastAsia="Arial" w:cstheme="minorHAnsi"/>
                <w:szCs w:val="20"/>
              </w:rPr>
              <w:t>przed  porażeniem  prądem</w:t>
            </w:r>
            <w:r w:rsidR="009545D2" w:rsidRPr="009545D2">
              <w:rPr>
                <w:rFonts w:eastAsia="Arial" w:cstheme="minorHAnsi"/>
                <w:szCs w:val="20"/>
              </w:rPr>
              <w:t xml:space="preserve"> </w:t>
            </w:r>
            <w:r w:rsidRPr="009545D2">
              <w:rPr>
                <w:rFonts w:eastAsia="Arial" w:cstheme="minorHAnsi"/>
                <w:szCs w:val="20"/>
              </w:rPr>
              <w:t>elektrycznym.  Ochrona</w:t>
            </w:r>
            <w:r w:rsidR="009545D2" w:rsidRPr="009545D2">
              <w:rPr>
                <w:rFonts w:eastAsia="Arial" w:cstheme="minorHAnsi"/>
                <w:szCs w:val="20"/>
              </w:rPr>
              <w:t xml:space="preserve"> </w:t>
            </w:r>
            <w:r w:rsidRPr="009545D2">
              <w:rPr>
                <w:rFonts w:eastAsia="Arial" w:cstheme="minorHAnsi"/>
                <w:szCs w:val="20"/>
              </w:rPr>
              <w:t>przed</w:t>
            </w:r>
            <w:r w:rsidR="009545D2" w:rsidRPr="009545D2">
              <w:rPr>
                <w:rFonts w:eastAsia="Arial" w:cstheme="minorHAnsi"/>
                <w:szCs w:val="20"/>
              </w:rPr>
              <w:t xml:space="preserve"> </w:t>
            </w:r>
            <w:r w:rsidRPr="009545D2">
              <w:rPr>
                <w:rFonts w:eastAsia="Arial" w:cstheme="minorHAnsi"/>
                <w:szCs w:val="20"/>
              </w:rPr>
              <w:t>niezamierzonym   dotykiem</w:t>
            </w:r>
            <w:r w:rsidR="009545D2" w:rsidRPr="009545D2">
              <w:rPr>
                <w:rFonts w:eastAsia="Arial" w:cstheme="minorHAnsi"/>
                <w:szCs w:val="20"/>
              </w:rPr>
              <w:t xml:space="preserve"> </w:t>
            </w:r>
            <w:r w:rsidRPr="009545D2">
              <w:rPr>
                <w:rFonts w:eastAsia="Arial" w:cstheme="minorHAnsi"/>
                <w:szCs w:val="20"/>
              </w:rPr>
              <w:t>bezpośrednim</w:t>
            </w:r>
            <w:r w:rsidR="009545D2" w:rsidRPr="009545D2">
              <w:rPr>
                <w:rFonts w:eastAsia="Arial" w:cstheme="minorHAnsi"/>
                <w:szCs w:val="20"/>
              </w:rPr>
              <w:t xml:space="preserve"> </w:t>
            </w:r>
            <w:r w:rsidRPr="009545D2">
              <w:rPr>
                <w:rFonts w:eastAsia="Arial" w:cstheme="minorHAnsi"/>
                <w:szCs w:val="20"/>
              </w:rPr>
              <w:t>części niebezpiecznych czynnych.</w:t>
            </w:r>
          </w:p>
        </w:tc>
      </w:tr>
      <w:tr w:rsidR="00DE4566" w:rsidRPr="00557ED2" w:rsidTr="009545D2">
        <w:trPr>
          <w:trHeight w:val="379"/>
        </w:trPr>
        <w:tc>
          <w:tcPr>
            <w:tcW w:w="9240" w:type="dxa"/>
            <w:vAlign w:val="bottom"/>
          </w:tcPr>
          <w:p w:rsidR="00DE4566" w:rsidRPr="009545D2" w:rsidRDefault="00DE4566" w:rsidP="009545D2">
            <w:pPr>
              <w:pStyle w:val="Akapitzlist"/>
              <w:numPr>
                <w:ilvl w:val="0"/>
                <w:numId w:val="37"/>
              </w:numPr>
              <w:ind w:left="284" w:right="350" w:hanging="284"/>
              <w:rPr>
                <w:rFonts w:cstheme="minorHAnsi"/>
                <w:szCs w:val="20"/>
              </w:rPr>
            </w:pPr>
            <w:r w:rsidRPr="009545D2">
              <w:rPr>
                <w:rFonts w:eastAsia="Arial" w:cstheme="minorHAnsi"/>
                <w:szCs w:val="20"/>
              </w:rPr>
              <w:lastRenderedPageBreak/>
              <w:t>PN-EN 50298:2004</w:t>
            </w:r>
            <w:r w:rsidR="009545D2" w:rsidRPr="009545D2">
              <w:rPr>
                <w:rFonts w:eastAsia="Arial" w:cstheme="minorHAnsi"/>
                <w:szCs w:val="20"/>
              </w:rPr>
              <w:t xml:space="preserve"> </w:t>
            </w:r>
            <w:r w:rsidRPr="009545D2">
              <w:rPr>
                <w:rFonts w:eastAsia="Arial" w:cstheme="minorHAnsi"/>
                <w:szCs w:val="20"/>
              </w:rPr>
              <w:t>Puste</w:t>
            </w:r>
            <w:r w:rsidR="009545D2" w:rsidRPr="009545D2">
              <w:rPr>
                <w:rFonts w:eastAsia="Arial" w:cstheme="minorHAnsi"/>
                <w:szCs w:val="20"/>
              </w:rPr>
              <w:t xml:space="preserve"> </w:t>
            </w:r>
            <w:r w:rsidRPr="009545D2">
              <w:rPr>
                <w:rFonts w:eastAsia="Arial" w:cstheme="minorHAnsi"/>
                <w:szCs w:val="20"/>
              </w:rPr>
              <w:t>obudowy</w:t>
            </w:r>
            <w:r w:rsidR="009545D2" w:rsidRPr="009545D2">
              <w:rPr>
                <w:rFonts w:eastAsia="Arial" w:cstheme="minorHAnsi"/>
                <w:szCs w:val="20"/>
              </w:rPr>
              <w:t xml:space="preserve"> </w:t>
            </w:r>
            <w:r w:rsidRPr="009545D2">
              <w:rPr>
                <w:rFonts w:eastAsia="Arial" w:cstheme="minorHAnsi"/>
                <w:szCs w:val="20"/>
              </w:rPr>
              <w:t>rozdzielnic</w:t>
            </w:r>
            <w:r w:rsidR="009545D2" w:rsidRPr="009545D2">
              <w:rPr>
                <w:rFonts w:eastAsia="Arial" w:cstheme="minorHAnsi"/>
                <w:szCs w:val="20"/>
              </w:rPr>
              <w:t xml:space="preserve"> </w:t>
            </w:r>
            <w:r w:rsidRPr="009545D2">
              <w:rPr>
                <w:rFonts w:eastAsia="Arial" w:cstheme="minorHAnsi"/>
                <w:szCs w:val="20"/>
              </w:rPr>
              <w:t>i</w:t>
            </w:r>
            <w:r w:rsidR="009545D2" w:rsidRPr="009545D2">
              <w:rPr>
                <w:rFonts w:eastAsia="Arial" w:cstheme="minorHAnsi"/>
                <w:szCs w:val="20"/>
              </w:rPr>
              <w:t xml:space="preserve"> </w:t>
            </w:r>
            <w:r w:rsidRPr="009545D2">
              <w:rPr>
                <w:rFonts w:eastAsia="Arial" w:cstheme="minorHAnsi"/>
                <w:szCs w:val="20"/>
              </w:rPr>
              <w:t>sterownic</w:t>
            </w:r>
            <w:r w:rsidR="009545D2" w:rsidRPr="009545D2">
              <w:rPr>
                <w:rFonts w:eastAsia="Arial" w:cstheme="minorHAnsi"/>
                <w:szCs w:val="20"/>
              </w:rPr>
              <w:t xml:space="preserve"> </w:t>
            </w:r>
            <w:r w:rsidRPr="009545D2">
              <w:rPr>
                <w:rFonts w:eastAsia="Arial" w:cstheme="minorHAnsi"/>
                <w:szCs w:val="20"/>
              </w:rPr>
              <w:t>niskonapięciowych. Wymagania ogólne.</w:t>
            </w:r>
          </w:p>
        </w:tc>
      </w:tr>
      <w:tr w:rsidR="00DE4566" w:rsidRPr="00557ED2" w:rsidTr="009545D2">
        <w:trPr>
          <w:trHeight w:val="483"/>
        </w:trPr>
        <w:tc>
          <w:tcPr>
            <w:tcW w:w="9240" w:type="dxa"/>
            <w:vAlign w:val="bottom"/>
          </w:tcPr>
          <w:p w:rsidR="00DE4566" w:rsidRPr="00557ED2" w:rsidRDefault="00DE4566" w:rsidP="009545D2">
            <w:pPr>
              <w:pStyle w:val="Akapitzlist"/>
              <w:numPr>
                <w:ilvl w:val="0"/>
                <w:numId w:val="37"/>
              </w:numPr>
              <w:ind w:left="284" w:right="350" w:hanging="284"/>
              <w:rPr>
                <w:rFonts w:cstheme="minorHAnsi"/>
                <w:szCs w:val="20"/>
              </w:rPr>
            </w:pPr>
            <w:r w:rsidRPr="009545D2">
              <w:rPr>
                <w:rFonts w:eastAsia="Arial" w:cstheme="minorHAnsi"/>
                <w:szCs w:val="20"/>
              </w:rPr>
              <w:t>PN-EN 50300:2005(U)</w:t>
            </w:r>
            <w:r w:rsidR="009545D2" w:rsidRPr="009545D2">
              <w:rPr>
                <w:rFonts w:eastAsia="Arial" w:cstheme="minorHAnsi"/>
                <w:szCs w:val="20"/>
              </w:rPr>
              <w:t xml:space="preserve"> </w:t>
            </w:r>
            <w:r w:rsidRPr="009545D2">
              <w:rPr>
                <w:rFonts w:eastAsia="Arial" w:cstheme="minorHAnsi"/>
                <w:szCs w:val="20"/>
              </w:rPr>
              <w:t>Rozdzielnice i sterownice niskonapięciowe. Ogólne</w:t>
            </w:r>
            <w:r w:rsidR="009545D2" w:rsidRPr="009545D2">
              <w:rPr>
                <w:rFonts w:eastAsia="Arial" w:cstheme="minorHAnsi"/>
                <w:szCs w:val="20"/>
              </w:rPr>
              <w:t xml:space="preserve"> </w:t>
            </w:r>
            <w:r w:rsidRPr="009545D2">
              <w:rPr>
                <w:rFonts w:eastAsia="Arial" w:cstheme="minorHAnsi"/>
                <w:szCs w:val="20"/>
              </w:rPr>
              <w:t>wymagania dotyczące niskonapięciowych rozdzielnic</w:t>
            </w:r>
            <w:r w:rsidR="009545D2" w:rsidRPr="009545D2">
              <w:rPr>
                <w:rFonts w:eastAsia="Arial" w:cstheme="minorHAnsi"/>
                <w:szCs w:val="20"/>
              </w:rPr>
              <w:t xml:space="preserve"> </w:t>
            </w:r>
            <w:r w:rsidRPr="009545D2">
              <w:rPr>
                <w:rFonts w:eastAsia="Arial" w:cstheme="minorHAnsi"/>
                <w:szCs w:val="20"/>
              </w:rPr>
              <w:t>tablicowych</w:t>
            </w:r>
            <w:r w:rsidR="009545D2" w:rsidRPr="009545D2">
              <w:rPr>
                <w:rFonts w:eastAsia="Arial" w:cstheme="minorHAnsi"/>
                <w:szCs w:val="20"/>
              </w:rPr>
              <w:t xml:space="preserve"> </w:t>
            </w:r>
            <w:r w:rsidRPr="009545D2">
              <w:rPr>
                <w:rFonts w:eastAsia="Arial" w:cstheme="minorHAnsi"/>
                <w:szCs w:val="20"/>
              </w:rPr>
              <w:t>przeznaczonych</w:t>
            </w:r>
            <w:r w:rsidR="009545D2" w:rsidRPr="009545D2">
              <w:rPr>
                <w:rFonts w:eastAsia="Arial" w:cstheme="minorHAnsi"/>
                <w:szCs w:val="20"/>
              </w:rPr>
              <w:t xml:space="preserve"> </w:t>
            </w:r>
            <w:r w:rsidRPr="009545D2">
              <w:rPr>
                <w:rFonts w:eastAsia="Arial" w:cstheme="minorHAnsi"/>
                <w:szCs w:val="20"/>
              </w:rPr>
              <w:t>do</w:t>
            </w:r>
            <w:r w:rsidR="009545D2">
              <w:rPr>
                <w:rFonts w:eastAsia="Arial" w:cstheme="minorHAnsi"/>
                <w:szCs w:val="20"/>
              </w:rPr>
              <w:t xml:space="preserve"> </w:t>
            </w:r>
            <w:r w:rsidRPr="00557ED2">
              <w:rPr>
                <w:rFonts w:eastAsia="Arial" w:cstheme="minorHAnsi"/>
                <w:w w:val="99"/>
                <w:szCs w:val="20"/>
              </w:rPr>
              <w:t>elektroenergetycznych stacji rozdzielczych.</w:t>
            </w:r>
          </w:p>
        </w:tc>
      </w:tr>
      <w:tr w:rsidR="00DE4566" w:rsidRPr="00557ED2" w:rsidTr="009545D2">
        <w:trPr>
          <w:trHeight w:val="577"/>
        </w:trPr>
        <w:tc>
          <w:tcPr>
            <w:tcW w:w="9240" w:type="dxa"/>
            <w:vAlign w:val="bottom"/>
          </w:tcPr>
          <w:p w:rsidR="00DE4566" w:rsidRPr="00557ED2" w:rsidRDefault="00DE4566" w:rsidP="009545D2">
            <w:pPr>
              <w:pStyle w:val="Akapitzlist"/>
              <w:numPr>
                <w:ilvl w:val="0"/>
                <w:numId w:val="37"/>
              </w:numPr>
              <w:ind w:left="284" w:right="350" w:hanging="284"/>
              <w:rPr>
                <w:rFonts w:cstheme="minorHAnsi"/>
                <w:szCs w:val="20"/>
              </w:rPr>
            </w:pPr>
            <w:r w:rsidRPr="009545D2">
              <w:rPr>
                <w:rFonts w:eastAsia="Arial" w:cstheme="minorHAnsi"/>
                <w:szCs w:val="20"/>
              </w:rPr>
              <w:t>PN-HD 60364-1:2010</w:t>
            </w:r>
            <w:r w:rsidR="009545D2" w:rsidRPr="009545D2">
              <w:rPr>
                <w:rFonts w:eastAsia="Arial" w:cstheme="minorHAnsi"/>
                <w:szCs w:val="20"/>
              </w:rPr>
              <w:t xml:space="preserve"> </w:t>
            </w:r>
            <w:r w:rsidRPr="009545D2">
              <w:rPr>
                <w:rFonts w:eastAsia="Arial" w:cstheme="minorHAnsi"/>
                <w:szCs w:val="20"/>
              </w:rPr>
              <w:t>Instalacje  elektryczne  niskiego  napięcia  Część  1:</w:t>
            </w:r>
            <w:r w:rsidR="009545D2" w:rsidRPr="009545D2">
              <w:rPr>
                <w:rFonts w:eastAsia="Arial" w:cstheme="minorHAnsi"/>
                <w:szCs w:val="20"/>
              </w:rPr>
              <w:t xml:space="preserve"> </w:t>
            </w:r>
            <w:r w:rsidRPr="009545D2">
              <w:rPr>
                <w:rFonts w:eastAsia="Arial" w:cstheme="minorHAnsi"/>
                <w:szCs w:val="20"/>
              </w:rPr>
              <w:t>Wymagania   podstawowe,   ustalanie</w:t>
            </w:r>
            <w:r w:rsidR="009545D2" w:rsidRPr="009545D2">
              <w:rPr>
                <w:rFonts w:eastAsia="Arial" w:cstheme="minorHAnsi"/>
                <w:szCs w:val="20"/>
              </w:rPr>
              <w:t xml:space="preserve"> </w:t>
            </w:r>
            <w:r w:rsidRPr="009545D2">
              <w:rPr>
                <w:rFonts w:eastAsia="Arial" w:cstheme="minorHAnsi"/>
                <w:szCs w:val="20"/>
              </w:rPr>
              <w:t>ogólnych</w:t>
            </w:r>
            <w:r w:rsidR="009545D2">
              <w:rPr>
                <w:rFonts w:eastAsia="Arial" w:cstheme="minorHAnsi"/>
                <w:szCs w:val="20"/>
              </w:rPr>
              <w:t xml:space="preserve"> </w:t>
            </w:r>
            <w:r w:rsidRPr="00557ED2">
              <w:rPr>
                <w:rFonts w:eastAsia="Arial" w:cstheme="minorHAnsi"/>
                <w:szCs w:val="20"/>
              </w:rPr>
              <w:t>charakterystyk, definicje.</w:t>
            </w:r>
          </w:p>
        </w:tc>
      </w:tr>
      <w:tr w:rsidR="00DE4566" w:rsidRPr="00557ED2" w:rsidTr="009545D2">
        <w:trPr>
          <w:trHeight w:val="543"/>
        </w:trPr>
        <w:tc>
          <w:tcPr>
            <w:tcW w:w="9240" w:type="dxa"/>
            <w:vAlign w:val="bottom"/>
          </w:tcPr>
          <w:p w:rsidR="00DE4566" w:rsidRPr="00557ED2" w:rsidRDefault="00DE4566" w:rsidP="009545D2">
            <w:pPr>
              <w:pStyle w:val="Akapitzlist"/>
              <w:numPr>
                <w:ilvl w:val="0"/>
                <w:numId w:val="37"/>
              </w:numPr>
              <w:ind w:left="284" w:right="350" w:hanging="284"/>
              <w:rPr>
                <w:rFonts w:cstheme="minorHAnsi"/>
                <w:szCs w:val="20"/>
              </w:rPr>
            </w:pPr>
            <w:r w:rsidRPr="009545D2">
              <w:rPr>
                <w:rFonts w:eastAsia="Arial" w:cstheme="minorHAnsi"/>
                <w:szCs w:val="20"/>
              </w:rPr>
              <w:t>PN-HD 60364-4-41:2009</w:t>
            </w:r>
            <w:r w:rsidR="009545D2" w:rsidRPr="009545D2">
              <w:rPr>
                <w:rFonts w:eastAsia="Arial" w:cstheme="minorHAnsi"/>
                <w:szCs w:val="20"/>
              </w:rPr>
              <w:t xml:space="preserve"> </w:t>
            </w:r>
            <w:r w:rsidRPr="009545D2">
              <w:rPr>
                <w:rFonts w:eastAsia="Arial" w:cstheme="minorHAnsi"/>
                <w:w w:val="98"/>
                <w:szCs w:val="20"/>
              </w:rPr>
              <w:t>Instalacje elektryczne niskiego napięcia – Część 4.41.</w:t>
            </w:r>
            <w:r w:rsidR="009545D2" w:rsidRPr="009545D2">
              <w:rPr>
                <w:rFonts w:eastAsia="Arial" w:cstheme="minorHAnsi"/>
                <w:w w:val="98"/>
                <w:szCs w:val="20"/>
              </w:rPr>
              <w:t xml:space="preserve"> </w:t>
            </w:r>
            <w:r w:rsidRPr="009545D2">
              <w:rPr>
                <w:rFonts w:eastAsia="Arial" w:cstheme="minorHAnsi"/>
                <w:w w:val="99"/>
                <w:szCs w:val="20"/>
              </w:rPr>
              <w:t>Ochrona dla zapewnienia bezpieczeństwa – Ochrona</w:t>
            </w:r>
            <w:r w:rsidR="009545D2">
              <w:rPr>
                <w:rFonts w:eastAsia="Arial" w:cstheme="minorHAnsi"/>
                <w:w w:val="99"/>
                <w:szCs w:val="20"/>
              </w:rPr>
              <w:t xml:space="preserve"> </w:t>
            </w:r>
            <w:r w:rsidRPr="00557ED2">
              <w:rPr>
                <w:rFonts w:eastAsia="Arial" w:cstheme="minorHAnsi"/>
                <w:szCs w:val="20"/>
              </w:rPr>
              <w:t>przed porażeniem elektrycznym.</w:t>
            </w:r>
          </w:p>
        </w:tc>
      </w:tr>
      <w:tr w:rsidR="00DE4566" w:rsidRPr="00557ED2" w:rsidTr="00DE4566">
        <w:trPr>
          <w:trHeight w:val="417"/>
        </w:trPr>
        <w:tc>
          <w:tcPr>
            <w:tcW w:w="9240" w:type="dxa"/>
            <w:vAlign w:val="bottom"/>
          </w:tcPr>
          <w:p w:rsidR="00DE4566" w:rsidRPr="009545D2" w:rsidRDefault="00DE4566" w:rsidP="009545D2">
            <w:pPr>
              <w:pStyle w:val="Akapitzlist"/>
              <w:numPr>
                <w:ilvl w:val="0"/>
                <w:numId w:val="37"/>
              </w:numPr>
              <w:ind w:left="284" w:hanging="284"/>
              <w:rPr>
                <w:rFonts w:cstheme="minorHAnsi"/>
                <w:szCs w:val="20"/>
              </w:rPr>
            </w:pPr>
            <w:r w:rsidRPr="009545D2">
              <w:rPr>
                <w:rFonts w:eastAsia="Arial" w:cstheme="minorHAnsi"/>
                <w:szCs w:val="20"/>
              </w:rPr>
              <w:t>PN-IEC 60364-4-442:1999</w:t>
            </w:r>
            <w:r w:rsidR="009545D2" w:rsidRPr="009545D2">
              <w:rPr>
                <w:rFonts w:eastAsia="Arial" w:cstheme="minorHAnsi"/>
                <w:szCs w:val="20"/>
              </w:rPr>
              <w:t xml:space="preserve"> </w:t>
            </w:r>
            <w:r w:rsidRPr="009545D2">
              <w:rPr>
                <w:rFonts w:eastAsia="Arial" w:cstheme="minorHAnsi"/>
                <w:szCs w:val="20"/>
              </w:rPr>
              <w:t>Instalacje elektryczne w obiektach budowlanych</w:t>
            </w:r>
            <w:r w:rsidR="009545D2" w:rsidRPr="009545D2">
              <w:rPr>
                <w:rFonts w:eastAsia="Arial" w:cstheme="minorHAnsi"/>
                <w:szCs w:val="20"/>
              </w:rPr>
              <w:t xml:space="preserve"> </w:t>
            </w:r>
            <w:r w:rsidR="009545D2" w:rsidRPr="009545D2">
              <w:rPr>
                <w:rFonts w:eastAsia="Arial" w:cstheme="minorHAnsi"/>
                <w:szCs w:val="20"/>
              </w:rPr>
              <w:br/>
              <w:t>– Ochrona dla zapewnienia bezpieczeństwa</w:t>
            </w:r>
            <w:r w:rsidR="009545D2" w:rsidRPr="009545D2">
              <w:rPr>
                <w:rFonts w:eastAsia="Arial" w:cstheme="minorHAnsi"/>
                <w:szCs w:val="20"/>
              </w:rPr>
              <w:br/>
              <w:t xml:space="preserve">– Ochrona przed przepięciami – Ochrona instalacji niskiego napięcia przed przejściowymi przepięciami i uszkodzeniami przy </w:t>
            </w:r>
            <w:proofErr w:type="spellStart"/>
            <w:r w:rsidR="009545D2" w:rsidRPr="009545D2">
              <w:rPr>
                <w:rFonts w:eastAsia="Arial" w:cstheme="minorHAnsi"/>
                <w:szCs w:val="20"/>
              </w:rPr>
              <w:t>doziemieniach</w:t>
            </w:r>
            <w:proofErr w:type="spellEnd"/>
            <w:r w:rsidR="009545D2" w:rsidRPr="009545D2">
              <w:rPr>
                <w:rFonts w:eastAsia="Arial" w:cstheme="minorHAnsi"/>
                <w:szCs w:val="20"/>
              </w:rPr>
              <w:t xml:space="preserve"> w sieciach wysokiego napięcia.</w:t>
            </w:r>
          </w:p>
        </w:tc>
      </w:tr>
      <w:tr w:rsidR="00DE4566" w:rsidRPr="00557ED2" w:rsidTr="009545D2">
        <w:trPr>
          <w:trHeight w:val="884"/>
        </w:trPr>
        <w:tc>
          <w:tcPr>
            <w:tcW w:w="9240" w:type="dxa"/>
            <w:vAlign w:val="bottom"/>
          </w:tcPr>
          <w:p w:rsidR="00DE4566" w:rsidRPr="00557ED2" w:rsidRDefault="00DE4566" w:rsidP="009545D2">
            <w:pPr>
              <w:pStyle w:val="Akapitzlist"/>
              <w:numPr>
                <w:ilvl w:val="0"/>
                <w:numId w:val="37"/>
              </w:numPr>
              <w:ind w:left="284" w:hanging="284"/>
              <w:rPr>
                <w:rFonts w:cstheme="minorHAnsi"/>
                <w:szCs w:val="20"/>
              </w:rPr>
            </w:pPr>
            <w:r w:rsidRPr="009545D2">
              <w:rPr>
                <w:rFonts w:eastAsia="Arial" w:cstheme="minorHAnsi"/>
                <w:szCs w:val="20"/>
              </w:rPr>
              <w:t>PN-IEC 60364-4-473:1999</w:t>
            </w:r>
            <w:r w:rsidR="009545D2" w:rsidRPr="009545D2">
              <w:rPr>
                <w:rFonts w:eastAsia="Arial" w:cstheme="minorHAnsi"/>
                <w:szCs w:val="20"/>
              </w:rPr>
              <w:t xml:space="preserve"> </w:t>
            </w:r>
            <w:r w:rsidRPr="009545D2">
              <w:rPr>
                <w:rFonts w:eastAsia="Arial" w:cstheme="minorHAnsi"/>
                <w:szCs w:val="20"/>
              </w:rPr>
              <w:t>Instalacje elektryczne w obiektach budowlanych</w:t>
            </w:r>
            <w:r w:rsidR="009545D2" w:rsidRPr="009545D2">
              <w:rPr>
                <w:rFonts w:eastAsia="Arial" w:cstheme="minorHAnsi"/>
                <w:szCs w:val="20"/>
              </w:rPr>
              <w:t xml:space="preserve"> </w:t>
            </w:r>
            <w:r w:rsidRPr="009545D2">
              <w:rPr>
                <w:rFonts w:eastAsia="Arial" w:cstheme="minorHAnsi"/>
                <w:szCs w:val="20"/>
              </w:rPr>
              <w:t>–   Ochrona   dla   zapewnienia   bezpieczeństwa.</w:t>
            </w:r>
            <w:r w:rsidR="009545D2" w:rsidRPr="009545D2">
              <w:rPr>
                <w:rFonts w:eastAsia="Arial" w:cstheme="minorHAnsi"/>
                <w:szCs w:val="20"/>
              </w:rPr>
              <w:t xml:space="preserve"> </w:t>
            </w:r>
            <w:r w:rsidRPr="009545D2">
              <w:rPr>
                <w:rFonts w:eastAsia="Arial" w:cstheme="minorHAnsi"/>
                <w:szCs w:val="20"/>
              </w:rPr>
              <w:t>Stosowanie środków ochrony zapewniających</w:t>
            </w:r>
            <w:r w:rsidR="009545D2" w:rsidRPr="009545D2">
              <w:rPr>
                <w:rFonts w:eastAsia="Arial" w:cstheme="minorHAnsi"/>
                <w:szCs w:val="20"/>
              </w:rPr>
              <w:t xml:space="preserve"> </w:t>
            </w:r>
            <w:r w:rsidRPr="009545D2">
              <w:rPr>
                <w:rFonts w:eastAsia="Arial" w:cstheme="minorHAnsi"/>
                <w:szCs w:val="20"/>
              </w:rPr>
              <w:t>bezpieczeństwo</w:t>
            </w:r>
            <w:r w:rsidR="009545D2">
              <w:rPr>
                <w:rFonts w:eastAsia="Arial" w:cstheme="minorHAnsi"/>
                <w:szCs w:val="20"/>
              </w:rPr>
              <w:br/>
            </w:r>
            <w:r w:rsidRPr="009545D2">
              <w:rPr>
                <w:rFonts w:eastAsia="Arial" w:cstheme="minorHAnsi"/>
                <w:szCs w:val="20"/>
              </w:rPr>
              <w:t xml:space="preserve">  –  Postanowienia  ogólne </w:t>
            </w:r>
            <w:r w:rsidR="009545D2">
              <w:rPr>
                <w:rFonts w:eastAsia="Arial" w:cstheme="minorHAnsi"/>
                <w:szCs w:val="20"/>
              </w:rPr>
              <w:br/>
            </w:r>
            <w:r w:rsidRPr="009545D2">
              <w:rPr>
                <w:rFonts w:eastAsia="Arial" w:cstheme="minorHAnsi"/>
                <w:szCs w:val="20"/>
              </w:rPr>
              <w:t xml:space="preserve"> –  Środki</w:t>
            </w:r>
            <w:r w:rsidR="009545D2">
              <w:rPr>
                <w:rFonts w:eastAsia="Arial" w:cstheme="minorHAnsi"/>
                <w:szCs w:val="20"/>
              </w:rPr>
              <w:t xml:space="preserve"> </w:t>
            </w:r>
            <w:r w:rsidRPr="00557ED2">
              <w:rPr>
                <w:rFonts w:eastAsia="Arial" w:cstheme="minorHAnsi"/>
                <w:szCs w:val="20"/>
              </w:rPr>
              <w:t>ochrony przed prądem przetężeniowym.</w:t>
            </w:r>
          </w:p>
        </w:tc>
      </w:tr>
      <w:tr w:rsidR="00DE4566" w:rsidRPr="00557ED2" w:rsidTr="00C870D2">
        <w:trPr>
          <w:trHeight w:val="710"/>
        </w:trPr>
        <w:tc>
          <w:tcPr>
            <w:tcW w:w="9240" w:type="dxa"/>
            <w:vAlign w:val="bottom"/>
          </w:tcPr>
          <w:p w:rsidR="00DE4566" w:rsidRPr="00557ED2" w:rsidRDefault="00DE4566" w:rsidP="009545D2">
            <w:pPr>
              <w:pStyle w:val="Akapitzlist"/>
              <w:numPr>
                <w:ilvl w:val="0"/>
                <w:numId w:val="37"/>
              </w:numPr>
              <w:ind w:left="284" w:hanging="284"/>
              <w:rPr>
                <w:rFonts w:cstheme="minorHAnsi"/>
                <w:szCs w:val="20"/>
              </w:rPr>
            </w:pPr>
            <w:r w:rsidRPr="009545D2">
              <w:rPr>
                <w:rFonts w:eastAsia="Arial" w:cstheme="minorHAnsi"/>
                <w:szCs w:val="20"/>
              </w:rPr>
              <w:t>PN-HD 60364-5-51:2011</w:t>
            </w:r>
            <w:r w:rsidR="009545D2" w:rsidRPr="009545D2">
              <w:rPr>
                <w:rFonts w:eastAsia="Arial" w:cstheme="minorHAnsi"/>
                <w:szCs w:val="20"/>
              </w:rPr>
              <w:t xml:space="preserve"> </w:t>
            </w:r>
            <w:r w:rsidRPr="009545D2">
              <w:rPr>
                <w:rFonts w:eastAsia="Arial" w:cstheme="minorHAnsi"/>
                <w:szCs w:val="20"/>
              </w:rPr>
              <w:t>Instalacje elektryczne w obiektach budowlanych</w:t>
            </w:r>
            <w:r w:rsidR="009545D2" w:rsidRPr="009545D2">
              <w:rPr>
                <w:rFonts w:eastAsia="Arial" w:cstheme="minorHAnsi"/>
                <w:szCs w:val="20"/>
              </w:rPr>
              <w:t xml:space="preserve"> </w:t>
            </w:r>
            <w:r w:rsidR="009545D2">
              <w:rPr>
                <w:rFonts w:eastAsia="Arial" w:cstheme="minorHAnsi"/>
                <w:szCs w:val="20"/>
              </w:rPr>
              <w:br/>
            </w:r>
            <w:r w:rsidRPr="009545D2">
              <w:rPr>
                <w:rFonts w:eastAsia="Arial" w:cstheme="minorHAnsi"/>
                <w:szCs w:val="20"/>
              </w:rPr>
              <w:t xml:space="preserve">–  Dobór  i  montaż  wyposażenia  elektrycznego </w:t>
            </w:r>
            <w:r w:rsidR="009545D2">
              <w:rPr>
                <w:rFonts w:eastAsia="Arial" w:cstheme="minorHAnsi"/>
                <w:szCs w:val="20"/>
              </w:rPr>
              <w:br/>
            </w:r>
            <w:r w:rsidRPr="009545D2">
              <w:rPr>
                <w:rFonts w:eastAsia="Arial" w:cstheme="minorHAnsi"/>
                <w:szCs w:val="20"/>
              </w:rPr>
              <w:t xml:space="preserve"> –</w:t>
            </w:r>
            <w:r w:rsidR="009545D2">
              <w:rPr>
                <w:rFonts w:eastAsia="Arial" w:cstheme="minorHAnsi"/>
                <w:szCs w:val="20"/>
              </w:rPr>
              <w:t xml:space="preserve">  </w:t>
            </w:r>
            <w:r w:rsidRPr="00557ED2">
              <w:rPr>
                <w:rFonts w:eastAsia="Arial" w:cstheme="minorHAnsi"/>
                <w:szCs w:val="20"/>
              </w:rPr>
              <w:t>Postanowienia ogólne.</w:t>
            </w:r>
          </w:p>
        </w:tc>
      </w:tr>
      <w:tr w:rsidR="009545D2" w:rsidRPr="00557ED2" w:rsidTr="00C870D2">
        <w:trPr>
          <w:trHeight w:val="854"/>
        </w:trPr>
        <w:tc>
          <w:tcPr>
            <w:tcW w:w="9240" w:type="dxa"/>
            <w:vAlign w:val="bottom"/>
          </w:tcPr>
          <w:p w:rsidR="009545D2" w:rsidRPr="00557ED2" w:rsidRDefault="009545D2" w:rsidP="00C870D2">
            <w:pPr>
              <w:pStyle w:val="Akapitzlist"/>
              <w:numPr>
                <w:ilvl w:val="0"/>
                <w:numId w:val="37"/>
              </w:numPr>
              <w:ind w:left="284" w:hanging="284"/>
              <w:rPr>
                <w:rFonts w:cstheme="minorHAnsi"/>
                <w:szCs w:val="20"/>
              </w:rPr>
            </w:pPr>
            <w:r w:rsidRPr="00C870D2">
              <w:rPr>
                <w:rFonts w:eastAsia="Arial" w:cstheme="minorHAnsi"/>
                <w:szCs w:val="20"/>
              </w:rPr>
              <w:t>PN-IEC 60364-5-53:2000</w:t>
            </w:r>
            <w:r w:rsidR="00C870D2" w:rsidRPr="00C870D2">
              <w:rPr>
                <w:rFonts w:eastAsia="Arial" w:cstheme="minorHAnsi"/>
                <w:szCs w:val="20"/>
              </w:rPr>
              <w:t xml:space="preserve"> </w:t>
            </w:r>
            <w:r w:rsidRPr="00C870D2">
              <w:rPr>
                <w:rFonts w:eastAsia="Arial" w:cstheme="minorHAnsi"/>
                <w:szCs w:val="20"/>
              </w:rPr>
              <w:t>Instalacje elektryczne w obiektach budowlanych</w:t>
            </w:r>
            <w:r w:rsidR="00C870D2" w:rsidRPr="00C870D2">
              <w:rPr>
                <w:rFonts w:eastAsia="Arial" w:cstheme="minorHAnsi"/>
                <w:szCs w:val="20"/>
              </w:rPr>
              <w:br/>
            </w:r>
            <w:r w:rsidRPr="00C870D2">
              <w:rPr>
                <w:rFonts w:eastAsia="Arial" w:cstheme="minorHAnsi"/>
                <w:szCs w:val="20"/>
              </w:rPr>
              <w:t xml:space="preserve"> –</w:t>
            </w:r>
            <w:r w:rsidR="00C870D2" w:rsidRPr="00C870D2">
              <w:rPr>
                <w:rFonts w:eastAsia="Arial" w:cstheme="minorHAnsi"/>
                <w:szCs w:val="20"/>
              </w:rPr>
              <w:t xml:space="preserve"> </w:t>
            </w:r>
            <w:r w:rsidRPr="00C870D2">
              <w:rPr>
                <w:rFonts w:eastAsia="Arial" w:cstheme="minorHAnsi"/>
                <w:szCs w:val="20"/>
              </w:rPr>
              <w:t xml:space="preserve">Dobór  i  montaż  wyposażenia  elektrycznego </w:t>
            </w:r>
            <w:r w:rsidR="00C870D2">
              <w:rPr>
                <w:rFonts w:eastAsia="Arial" w:cstheme="minorHAnsi"/>
                <w:szCs w:val="20"/>
              </w:rPr>
              <w:br/>
              <w:t xml:space="preserve"> </w:t>
            </w:r>
            <w:r w:rsidRPr="00C870D2">
              <w:rPr>
                <w:rFonts w:eastAsia="Arial" w:cstheme="minorHAnsi"/>
                <w:szCs w:val="20"/>
              </w:rPr>
              <w:t>–</w:t>
            </w:r>
            <w:r w:rsidR="00C870D2">
              <w:rPr>
                <w:rFonts w:eastAsia="Arial" w:cstheme="minorHAnsi"/>
                <w:szCs w:val="20"/>
              </w:rPr>
              <w:t xml:space="preserve"> </w:t>
            </w:r>
            <w:r w:rsidRPr="00557ED2">
              <w:rPr>
                <w:rFonts w:eastAsia="Arial" w:cstheme="minorHAnsi"/>
                <w:szCs w:val="20"/>
              </w:rPr>
              <w:t>Aparatura rozdzielcza i sterownicza.</w:t>
            </w:r>
          </w:p>
        </w:tc>
      </w:tr>
      <w:tr w:rsidR="009545D2" w:rsidRPr="00557ED2" w:rsidTr="00C870D2">
        <w:trPr>
          <w:trHeight w:val="565"/>
        </w:trPr>
        <w:tc>
          <w:tcPr>
            <w:tcW w:w="9240" w:type="dxa"/>
            <w:vAlign w:val="bottom"/>
          </w:tcPr>
          <w:p w:rsidR="009545D2" w:rsidRPr="00557ED2" w:rsidRDefault="009545D2" w:rsidP="00C870D2">
            <w:pPr>
              <w:pStyle w:val="Akapitzlist"/>
              <w:numPr>
                <w:ilvl w:val="0"/>
                <w:numId w:val="37"/>
              </w:numPr>
              <w:ind w:left="284" w:hanging="284"/>
              <w:rPr>
                <w:rFonts w:cstheme="minorHAnsi"/>
                <w:szCs w:val="20"/>
              </w:rPr>
            </w:pPr>
            <w:r w:rsidRPr="00C870D2">
              <w:rPr>
                <w:rFonts w:eastAsia="Arial" w:cstheme="minorHAnsi"/>
                <w:szCs w:val="20"/>
              </w:rPr>
              <w:t>PN-EN 60446:2004</w:t>
            </w:r>
            <w:r w:rsidR="00C870D2" w:rsidRPr="00C870D2">
              <w:rPr>
                <w:rFonts w:eastAsia="Arial" w:cstheme="minorHAnsi"/>
                <w:szCs w:val="20"/>
              </w:rPr>
              <w:t xml:space="preserve"> </w:t>
            </w:r>
            <w:r w:rsidRPr="00C870D2">
              <w:rPr>
                <w:rFonts w:eastAsia="Arial" w:cstheme="minorHAnsi"/>
                <w:szCs w:val="20"/>
              </w:rPr>
              <w:t>Zasady podstawowe  i bezpieczeństwa przy</w:t>
            </w:r>
            <w:r w:rsidR="00C870D2" w:rsidRPr="00C870D2">
              <w:rPr>
                <w:rFonts w:eastAsia="Arial" w:cstheme="minorHAnsi"/>
                <w:szCs w:val="20"/>
              </w:rPr>
              <w:t xml:space="preserve"> </w:t>
            </w:r>
            <w:r w:rsidRPr="00C870D2">
              <w:rPr>
                <w:rFonts w:eastAsia="Arial" w:cstheme="minorHAnsi"/>
                <w:szCs w:val="20"/>
              </w:rPr>
              <w:t>współdziałaniu człowieka z maszyną, oznaczanie i</w:t>
            </w:r>
            <w:r w:rsidR="00C870D2">
              <w:rPr>
                <w:rFonts w:eastAsia="Arial" w:cstheme="minorHAnsi"/>
                <w:szCs w:val="20"/>
              </w:rPr>
              <w:t xml:space="preserve"> </w:t>
            </w:r>
            <w:r w:rsidRPr="00C870D2">
              <w:rPr>
                <w:rFonts w:eastAsia="Arial" w:cstheme="minorHAnsi"/>
                <w:szCs w:val="20"/>
              </w:rPr>
              <w:t>identyfikacja. Oznaczenia identyfikacyjne przewodów</w:t>
            </w:r>
            <w:r w:rsidR="00C870D2">
              <w:rPr>
                <w:rFonts w:eastAsia="Arial" w:cstheme="minorHAnsi"/>
                <w:szCs w:val="20"/>
              </w:rPr>
              <w:t xml:space="preserve"> </w:t>
            </w:r>
            <w:r w:rsidRPr="00557ED2">
              <w:rPr>
                <w:rFonts w:eastAsia="Arial" w:cstheme="minorHAnsi"/>
                <w:szCs w:val="20"/>
              </w:rPr>
              <w:t>barwami albo cyframi.</w:t>
            </w:r>
          </w:p>
        </w:tc>
      </w:tr>
      <w:tr w:rsidR="009545D2" w:rsidRPr="00557ED2" w:rsidTr="00C870D2">
        <w:trPr>
          <w:trHeight w:val="561"/>
        </w:trPr>
        <w:tc>
          <w:tcPr>
            <w:tcW w:w="9240" w:type="dxa"/>
            <w:vAlign w:val="bottom"/>
          </w:tcPr>
          <w:p w:rsidR="009545D2" w:rsidRPr="00557ED2" w:rsidRDefault="009545D2" w:rsidP="00C870D2">
            <w:pPr>
              <w:pStyle w:val="Akapitzlist"/>
              <w:numPr>
                <w:ilvl w:val="0"/>
                <w:numId w:val="37"/>
              </w:numPr>
              <w:ind w:left="284" w:hanging="284"/>
              <w:rPr>
                <w:rFonts w:cstheme="minorHAnsi"/>
                <w:szCs w:val="20"/>
              </w:rPr>
            </w:pPr>
            <w:r w:rsidRPr="00C870D2">
              <w:rPr>
                <w:rFonts w:eastAsia="Arial" w:cstheme="minorHAnsi"/>
                <w:szCs w:val="20"/>
              </w:rPr>
              <w:t>PN-EN 60439-1:2003</w:t>
            </w:r>
            <w:r w:rsidR="00C870D2" w:rsidRPr="00C870D2">
              <w:rPr>
                <w:rFonts w:eastAsia="Arial" w:cstheme="minorHAnsi"/>
                <w:szCs w:val="20"/>
              </w:rPr>
              <w:t xml:space="preserve"> </w:t>
            </w:r>
            <w:r w:rsidRPr="00C870D2">
              <w:rPr>
                <w:rFonts w:eastAsia="Arial" w:cstheme="minorHAnsi"/>
                <w:szCs w:val="20"/>
              </w:rPr>
              <w:t>Rozdzielnice i sterownice niskonapięciowe. Część 1:</w:t>
            </w:r>
            <w:r w:rsidR="00C870D2" w:rsidRPr="00C870D2">
              <w:rPr>
                <w:rFonts w:eastAsia="Arial" w:cstheme="minorHAnsi"/>
                <w:szCs w:val="20"/>
              </w:rPr>
              <w:t xml:space="preserve"> </w:t>
            </w:r>
            <w:r w:rsidRPr="00C870D2">
              <w:rPr>
                <w:rFonts w:eastAsia="Arial" w:cstheme="minorHAnsi"/>
                <w:szCs w:val="20"/>
              </w:rPr>
              <w:t>Zestawy  badane  w  pełnym  i  niepełnym  zakresie</w:t>
            </w:r>
            <w:r w:rsidR="00C870D2">
              <w:rPr>
                <w:rFonts w:eastAsia="Arial" w:cstheme="minorHAnsi"/>
                <w:szCs w:val="20"/>
              </w:rPr>
              <w:t xml:space="preserve"> </w:t>
            </w:r>
            <w:r w:rsidRPr="00557ED2">
              <w:rPr>
                <w:rFonts w:eastAsia="Arial" w:cstheme="minorHAnsi"/>
                <w:szCs w:val="20"/>
              </w:rPr>
              <w:t>badań typu.</w:t>
            </w:r>
          </w:p>
        </w:tc>
      </w:tr>
      <w:tr w:rsidR="009545D2" w:rsidRPr="00557ED2" w:rsidTr="00C870D2">
        <w:trPr>
          <w:trHeight w:val="526"/>
        </w:trPr>
        <w:tc>
          <w:tcPr>
            <w:tcW w:w="9240" w:type="dxa"/>
            <w:vAlign w:val="bottom"/>
          </w:tcPr>
          <w:p w:rsidR="009545D2" w:rsidRPr="00557ED2" w:rsidRDefault="009545D2" w:rsidP="00C870D2">
            <w:pPr>
              <w:pStyle w:val="Akapitzlist"/>
              <w:numPr>
                <w:ilvl w:val="0"/>
                <w:numId w:val="37"/>
              </w:numPr>
              <w:ind w:left="284" w:hanging="284"/>
              <w:rPr>
                <w:rFonts w:cstheme="minorHAnsi"/>
                <w:szCs w:val="20"/>
              </w:rPr>
            </w:pPr>
            <w:r w:rsidRPr="00C870D2">
              <w:rPr>
                <w:rFonts w:eastAsia="Arial" w:cstheme="minorHAnsi"/>
                <w:szCs w:val="20"/>
              </w:rPr>
              <w:t>PN-EN 60439-2:2004</w:t>
            </w:r>
            <w:r w:rsidR="00C870D2" w:rsidRPr="00C870D2">
              <w:rPr>
                <w:rFonts w:eastAsia="Arial" w:cstheme="minorHAnsi"/>
                <w:szCs w:val="20"/>
              </w:rPr>
              <w:t xml:space="preserve"> </w:t>
            </w:r>
            <w:r w:rsidRPr="00C870D2">
              <w:rPr>
                <w:rFonts w:eastAsia="Arial" w:cstheme="minorHAnsi"/>
                <w:szCs w:val="20"/>
              </w:rPr>
              <w:t>Rozdzielnice i sterownice niskonapięciowe. Część 2:</w:t>
            </w:r>
            <w:r w:rsidR="00C870D2">
              <w:rPr>
                <w:rFonts w:eastAsia="Arial" w:cstheme="minorHAnsi"/>
                <w:szCs w:val="20"/>
              </w:rPr>
              <w:t xml:space="preserve"> </w:t>
            </w:r>
            <w:r w:rsidRPr="00557ED2">
              <w:rPr>
                <w:rFonts w:eastAsia="Arial" w:cstheme="minorHAnsi"/>
                <w:szCs w:val="20"/>
              </w:rPr>
              <w:t>Wymagania dotyczące przewodów szynowych.</w:t>
            </w:r>
          </w:p>
        </w:tc>
      </w:tr>
      <w:tr w:rsidR="009545D2" w:rsidRPr="00557ED2" w:rsidTr="00C870D2">
        <w:trPr>
          <w:trHeight w:val="715"/>
        </w:trPr>
        <w:tc>
          <w:tcPr>
            <w:tcW w:w="9240" w:type="dxa"/>
            <w:vAlign w:val="bottom"/>
          </w:tcPr>
          <w:p w:rsidR="009545D2" w:rsidRPr="00557ED2" w:rsidRDefault="009545D2" w:rsidP="00C870D2">
            <w:pPr>
              <w:pStyle w:val="Akapitzlist"/>
              <w:numPr>
                <w:ilvl w:val="0"/>
                <w:numId w:val="37"/>
              </w:numPr>
              <w:ind w:left="284" w:hanging="284"/>
              <w:rPr>
                <w:rFonts w:cstheme="minorHAnsi"/>
                <w:szCs w:val="20"/>
              </w:rPr>
            </w:pPr>
            <w:r w:rsidRPr="00C870D2">
              <w:rPr>
                <w:rFonts w:eastAsia="Arial" w:cstheme="minorHAnsi"/>
                <w:szCs w:val="20"/>
              </w:rPr>
              <w:t>PN-EN 60439-3:2004</w:t>
            </w:r>
            <w:r w:rsidR="00C870D2" w:rsidRPr="00C870D2">
              <w:rPr>
                <w:rFonts w:eastAsia="Arial" w:cstheme="minorHAnsi"/>
                <w:szCs w:val="20"/>
              </w:rPr>
              <w:t xml:space="preserve"> </w:t>
            </w:r>
            <w:r w:rsidRPr="00C870D2">
              <w:rPr>
                <w:rFonts w:eastAsia="Arial" w:cstheme="minorHAnsi"/>
                <w:szCs w:val="20"/>
              </w:rPr>
              <w:t>Rozdzielnice i sterownice niskonapięciowe. Część 3:</w:t>
            </w:r>
            <w:r w:rsidR="00C870D2" w:rsidRPr="00C870D2">
              <w:rPr>
                <w:rFonts w:eastAsia="Arial" w:cstheme="minorHAnsi"/>
                <w:szCs w:val="20"/>
              </w:rPr>
              <w:t xml:space="preserve"> </w:t>
            </w:r>
            <w:r w:rsidRPr="00C870D2">
              <w:rPr>
                <w:rFonts w:eastAsia="Arial" w:cstheme="minorHAnsi"/>
                <w:w w:val="99"/>
                <w:szCs w:val="20"/>
              </w:rPr>
              <w:t>Wymagania dotyczące niskonapięciowych rozdzielnic</w:t>
            </w:r>
            <w:r w:rsidR="00C870D2" w:rsidRPr="00C870D2">
              <w:rPr>
                <w:rFonts w:eastAsia="Arial" w:cstheme="minorHAnsi"/>
                <w:w w:val="99"/>
                <w:szCs w:val="20"/>
              </w:rPr>
              <w:t xml:space="preserve"> </w:t>
            </w:r>
            <w:r w:rsidRPr="00C870D2">
              <w:rPr>
                <w:rFonts w:eastAsia="Arial" w:cstheme="minorHAnsi"/>
                <w:szCs w:val="20"/>
              </w:rPr>
              <w:t>i sterownic  przeznaczonych  do  instalowania  w</w:t>
            </w:r>
            <w:r w:rsidR="00C870D2" w:rsidRPr="00C870D2">
              <w:rPr>
                <w:rFonts w:eastAsia="Arial" w:cstheme="minorHAnsi"/>
                <w:szCs w:val="20"/>
              </w:rPr>
              <w:t xml:space="preserve"> </w:t>
            </w:r>
            <w:r w:rsidRPr="00C870D2">
              <w:rPr>
                <w:rFonts w:eastAsia="Arial" w:cstheme="minorHAnsi"/>
                <w:szCs w:val="20"/>
              </w:rPr>
              <w:t>miejscach dostępnych do użytkowania przez osoby</w:t>
            </w:r>
            <w:r w:rsidR="00C870D2">
              <w:rPr>
                <w:rFonts w:eastAsia="Arial" w:cstheme="minorHAnsi"/>
                <w:szCs w:val="20"/>
              </w:rPr>
              <w:t xml:space="preserve"> </w:t>
            </w:r>
            <w:r w:rsidRPr="00557ED2">
              <w:rPr>
                <w:rFonts w:eastAsia="Arial" w:cstheme="minorHAnsi"/>
                <w:szCs w:val="20"/>
              </w:rPr>
              <w:t>niewykwalifikowane. Rozdzielnice tablicowe.</w:t>
            </w:r>
          </w:p>
        </w:tc>
      </w:tr>
      <w:tr w:rsidR="009545D2" w:rsidRPr="00557ED2" w:rsidTr="00C870D2">
        <w:trPr>
          <w:trHeight w:val="572"/>
        </w:trPr>
        <w:tc>
          <w:tcPr>
            <w:tcW w:w="9240" w:type="dxa"/>
            <w:vAlign w:val="bottom"/>
          </w:tcPr>
          <w:p w:rsidR="009545D2" w:rsidRPr="00557ED2" w:rsidRDefault="009545D2" w:rsidP="00C870D2">
            <w:pPr>
              <w:pStyle w:val="Akapitzlist"/>
              <w:numPr>
                <w:ilvl w:val="0"/>
                <w:numId w:val="37"/>
              </w:numPr>
              <w:ind w:left="284" w:hanging="284"/>
              <w:rPr>
                <w:rFonts w:cstheme="minorHAnsi"/>
                <w:szCs w:val="20"/>
              </w:rPr>
            </w:pPr>
            <w:r w:rsidRPr="00C870D2">
              <w:rPr>
                <w:rFonts w:eastAsia="Arial" w:cstheme="minorHAnsi"/>
                <w:szCs w:val="20"/>
              </w:rPr>
              <w:t>PN-EN 60439-4:2004</w:t>
            </w:r>
            <w:r w:rsidR="00C870D2" w:rsidRPr="00C870D2">
              <w:rPr>
                <w:rFonts w:eastAsia="Arial" w:cstheme="minorHAnsi"/>
                <w:szCs w:val="20"/>
              </w:rPr>
              <w:t xml:space="preserve"> </w:t>
            </w:r>
            <w:r w:rsidRPr="00C870D2">
              <w:rPr>
                <w:rFonts w:eastAsia="Arial" w:cstheme="minorHAnsi"/>
                <w:szCs w:val="20"/>
              </w:rPr>
              <w:t>Rozdzielnice i sterownice niskonapięciowe. Część 4:</w:t>
            </w:r>
            <w:r w:rsidR="00C870D2" w:rsidRPr="00C870D2">
              <w:rPr>
                <w:rFonts w:eastAsia="Arial" w:cstheme="minorHAnsi"/>
                <w:szCs w:val="20"/>
              </w:rPr>
              <w:t xml:space="preserve"> </w:t>
            </w:r>
            <w:r w:rsidRPr="00C870D2">
              <w:rPr>
                <w:rFonts w:eastAsia="Arial" w:cstheme="minorHAnsi"/>
                <w:w w:val="99"/>
                <w:szCs w:val="20"/>
              </w:rPr>
              <w:t>Wymagania dotyczące zestawów przeznaczonych do</w:t>
            </w:r>
            <w:r w:rsidR="00C870D2">
              <w:rPr>
                <w:rFonts w:eastAsia="Arial" w:cstheme="minorHAnsi"/>
                <w:w w:val="99"/>
                <w:szCs w:val="20"/>
              </w:rPr>
              <w:t xml:space="preserve"> </w:t>
            </w:r>
            <w:r w:rsidRPr="00557ED2">
              <w:rPr>
                <w:rFonts w:eastAsia="Arial" w:cstheme="minorHAnsi"/>
                <w:szCs w:val="20"/>
              </w:rPr>
              <w:t>instalowania na terenach budów (ACS).</w:t>
            </w:r>
          </w:p>
        </w:tc>
      </w:tr>
      <w:tr w:rsidR="009545D2" w:rsidRPr="00557ED2" w:rsidTr="00C870D2">
        <w:trPr>
          <w:trHeight w:val="523"/>
        </w:trPr>
        <w:tc>
          <w:tcPr>
            <w:tcW w:w="9240" w:type="dxa"/>
            <w:vAlign w:val="bottom"/>
          </w:tcPr>
          <w:p w:rsidR="009545D2" w:rsidRPr="00557ED2" w:rsidRDefault="009545D2" w:rsidP="00C870D2">
            <w:pPr>
              <w:pStyle w:val="Akapitzlist"/>
              <w:numPr>
                <w:ilvl w:val="0"/>
                <w:numId w:val="37"/>
              </w:numPr>
              <w:ind w:left="284" w:hanging="284"/>
              <w:rPr>
                <w:rFonts w:cstheme="minorHAnsi"/>
                <w:szCs w:val="20"/>
              </w:rPr>
            </w:pPr>
            <w:r w:rsidRPr="00C870D2">
              <w:rPr>
                <w:rFonts w:eastAsia="Arial" w:cstheme="minorHAnsi"/>
                <w:szCs w:val="20"/>
              </w:rPr>
              <w:t>PN-EN 60439-4:2005(U)</w:t>
            </w:r>
            <w:r w:rsidR="00C870D2" w:rsidRPr="00C870D2">
              <w:rPr>
                <w:rFonts w:eastAsia="Arial" w:cstheme="minorHAnsi"/>
                <w:szCs w:val="20"/>
              </w:rPr>
              <w:t xml:space="preserve"> </w:t>
            </w:r>
            <w:r w:rsidRPr="00C870D2">
              <w:rPr>
                <w:rFonts w:eastAsia="Arial" w:cstheme="minorHAnsi"/>
                <w:szCs w:val="20"/>
              </w:rPr>
              <w:t>Rozdzielnice i sterownice niskonapięciowe. Część 4:</w:t>
            </w:r>
            <w:r w:rsidR="00C870D2">
              <w:rPr>
                <w:rFonts w:eastAsia="Arial" w:cstheme="minorHAnsi"/>
                <w:szCs w:val="20"/>
              </w:rPr>
              <w:t xml:space="preserve"> W</w:t>
            </w:r>
            <w:r w:rsidRPr="00557ED2">
              <w:rPr>
                <w:rFonts w:eastAsia="Arial" w:cstheme="minorHAnsi"/>
                <w:w w:val="99"/>
                <w:szCs w:val="20"/>
              </w:rPr>
              <w:t>ymagania dotyczące zestawów przeznaczonych do</w:t>
            </w:r>
            <w:r w:rsidR="00C870D2">
              <w:rPr>
                <w:rFonts w:eastAsia="Arial" w:cstheme="minorHAnsi"/>
                <w:w w:val="99"/>
                <w:szCs w:val="20"/>
              </w:rPr>
              <w:t xml:space="preserve"> </w:t>
            </w:r>
            <w:r w:rsidR="00C870D2" w:rsidRPr="00557ED2">
              <w:rPr>
                <w:rFonts w:eastAsia="Arial" w:cstheme="minorHAnsi"/>
                <w:szCs w:val="20"/>
              </w:rPr>
              <w:t>instalowania na terenach budów (ACS).</w:t>
            </w:r>
          </w:p>
        </w:tc>
      </w:tr>
      <w:tr w:rsidR="00C870D2" w:rsidRPr="00557ED2" w:rsidTr="00C870D2">
        <w:trPr>
          <w:trHeight w:val="679"/>
        </w:trPr>
        <w:tc>
          <w:tcPr>
            <w:tcW w:w="9240" w:type="dxa"/>
            <w:vAlign w:val="bottom"/>
          </w:tcPr>
          <w:p w:rsidR="00C870D2" w:rsidRPr="00C870D2" w:rsidRDefault="00C870D2" w:rsidP="00C870D2">
            <w:pPr>
              <w:pStyle w:val="Akapitzlist"/>
              <w:numPr>
                <w:ilvl w:val="0"/>
                <w:numId w:val="37"/>
              </w:numPr>
              <w:ind w:left="284" w:right="290" w:hanging="284"/>
              <w:rPr>
                <w:rFonts w:cstheme="minorHAnsi"/>
                <w:szCs w:val="20"/>
              </w:rPr>
            </w:pPr>
            <w:bookmarkStart w:id="50" w:name="page22"/>
            <w:bookmarkEnd w:id="50"/>
            <w:r w:rsidRPr="00C870D2">
              <w:rPr>
                <w:rFonts w:eastAsia="Arial" w:cstheme="minorHAnsi"/>
                <w:szCs w:val="20"/>
              </w:rPr>
              <w:t xml:space="preserve">PN-EN 60439-5:2002 Rozdzielnice i sterownice niskonapięciowe. Część 5: Wymagania </w:t>
            </w:r>
            <w:r w:rsidRPr="00C870D2">
              <w:rPr>
                <w:rFonts w:eastAsia="Arial" w:cstheme="minorHAnsi"/>
                <w:w w:val="99"/>
                <w:szCs w:val="20"/>
              </w:rPr>
              <w:t xml:space="preserve">szczegółowe dotyczące </w:t>
            </w:r>
            <w:r w:rsidRPr="00C870D2">
              <w:rPr>
                <w:rFonts w:eastAsia="Arial" w:cstheme="minorHAnsi"/>
                <w:szCs w:val="20"/>
              </w:rPr>
              <w:t xml:space="preserve">zestawów napowietrznych  przeznaczonych do </w:t>
            </w:r>
            <w:r w:rsidRPr="00C870D2">
              <w:rPr>
                <w:rFonts w:eastAsia="Arial" w:cstheme="minorHAnsi"/>
                <w:w w:val="98"/>
                <w:szCs w:val="20"/>
              </w:rPr>
              <w:t xml:space="preserve">instalowania </w:t>
            </w:r>
            <w:r w:rsidRPr="00C870D2">
              <w:rPr>
                <w:rFonts w:eastAsia="Arial" w:cstheme="minorHAnsi"/>
                <w:szCs w:val="20"/>
              </w:rPr>
              <w:t>w miejscach ogólnie dostępnych. Kablowe rozdzielnice szafowe (</w:t>
            </w:r>
            <w:proofErr w:type="spellStart"/>
            <w:r w:rsidRPr="00C870D2">
              <w:rPr>
                <w:rFonts w:eastAsia="Arial" w:cstheme="minorHAnsi"/>
                <w:szCs w:val="20"/>
              </w:rPr>
              <w:t>CDCs</w:t>
            </w:r>
            <w:proofErr w:type="spellEnd"/>
            <w:r w:rsidRPr="00C870D2">
              <w:rPr>
                <w:rFonts w:eastAsia="Arial" w:cstheme="minorHAnsi"/>
                <w:szCs w:val="20"/>
              </w:rPr>
              <w:t>) do rozdziału energii w sieciach.</w:t>
            </w:r>
          </w:p>
        </w:tc>
      </w:tr>
      <w:tr w:rsidR="00C870D2" w:rsidRPr="00557ED2" w:rsidTr="00C870D2">
        <w:trPr>
          <w:trHeight w:val="393"/>
        </w:trPr>
        <w:tc>
          <w:tcPr>
            <w:tcW w:w="9240" w:type="dxa"/>
            <w:vAlign w:val="bottom"/>
          </w:tcPr>
          <w:p w:rsidR="00C870D2" w:rsidRPr="00557ED2" w:rsidRDefault="00C870D2" w:rsidP="00C870D2">
            <w:pPr>
              <w:pStyle w:val="Akapitzlist"/>
              <w:numPr>
                <w:ilvl w:val="0"/>
                <w:numId w:val="37"/>
              </w:numPr>
              <w:ind w:left="284" w:right="290" w:hanging="284"/>
              <w:rPr>
                <w:rFonts w:cstheme="minorHAnsi"/>
                <w:szCs w:val="20"/>
              </w:rPr>
            </w:pPr>
            <w:r w:rsidRPr="00C870D2">
              <w:rPr>
                <w:rFonts w:eastAsia="Arial" w:cstheme="minorHAnsi"/>
                <w:szCs w:val="20"/>
              </w:rPr>
              <w:t>PN-EN 60529:2003 Stopnie ochrony zapewnianej przez obudowy (Kod</w:t>
            </w:r>
            <w:r>
              <w:rPr>
                <w:rFonts w:eastAsia="Arial" w:cstheme="minorHAnsi"/>
                <w:szCs w:val="20"/>
              </w:rPr>
              <w:t xml:space="preserve"> </w:t>
            </w:r>
            <w:r w:rsidRPr="00557ED2">
              <w:rPr>
                <w:rFonts w:eastAsia="Arial" w:cstheme="minorHAnsi"/>
                <w:szCs w:val="20"/>
              </w:rPr>
              <w:t>IP).</w:t>
            </w:r>
          </w:p>
        </w:tc>
      </w:tr>
      <w:tr w:rsidR="00C870D2" w:rsidRPr="00557ED2" w:rsidTr="00C870D2">
        <w:trPr>
          <w:trHeight w:val="286"/>
        </w:trPr>
        <w:tc>
          <w:tcPr>
            <w:tcW w:w="9240" w:type="dxa"/>
            <w:vAlign w:val="bottom"/>
          </w:tcPr>
          <w:p w:rsidR="00C870D2" w:rsidRPr="00557ED2" w:rsidRDefault="00C870D2" w:rsidP="00C870D2">
            <w:pPr>
              <w:pStyle w:val="Akapitzlist"/>
              <w:numPr>
                <w:ilvl w:val="0"/>
                <w:numId w:val="37"/>
              </w:numPr>
              <w:ind w:left="320" w:right="290" w:hanging="320"/>
              <w:rPr>
                <w:rFonts w:cstheme="minorHAnsi"/>
                <w:szCs w:val="20"/>
              </w:rPr>
            </w:pPr>
            <w:r w:rsidRPr="00C870D2">
              <w:rPr>
                <w:rFonts w:eastAsia="Arial" w:cstheme="minorHAnsi"/>
                <w:szCs w:val="20"/>
              </w:rPr>
              <w:t>PN-EN 62208:2005(U) Puste obudowy rozdzielnic  sterownic</w:t>
            </w:r>
            <w:r>
              <w:rPr>
                <w:rFonts w:eastAsia="Arial" w:cstheme="minorHAnsi"/>
                <w:szCs w:val="20"/>
              </w:rPr>
              <w:t xml:space="preserve"> </w:t>
            </w:r>
            <w:r w:rsidRPr="00557ED2">
              <w:rPr>
                <w:rFonts w:eastAsia="Arial" w:cstheme="minorHAnsi"/>
                <w:szCs w:val="20"/>
              </w:rPr>
              <w:t>niskonapięciowych. Wymagania ogólne.</w:t>
            </w:r>
          </w:p>
        </w:tc>
      </w:tr>
    </w:tbl>
    <w:p w:rsidR="00A915D3" w:rsidRPr="00557ED2" w:rsidRDefault="00A915D3" w:rsidP="00C870D2">
      <w:pPr>
        <w:pStyle w:val="Nagwek2"/>
      </w:pPr>
      <w:bookmarkStart w:id="51" w:name="_Toc498463025"/>
      <w:r w:rsidRPr="00557ED2">
        <w:rPr>
          <w:rFonts w:eastAsia="Arial"/>
        </w:rPr>
        <w:t>10.2. Inne dokumenty, instrukcje i przepisy</w:t>
      </w:r>
      <w:bookmarkEnd w:id="51"/>
    </w:p>
    <w:p w:rsidR="00A915D3" w:rsidRPr="00557ED2" w:rsidRDefault="00A915D3" w:rsidP="00C870D2">
      <w:r w:rsidRPr="00557ED2">
        <w:rPr>
          <w:rFonts w:eastAsia="Arial"/>
        </w:rPr>
        <w:t>10.2.1.</w:t>
      </w:r>
      <w:r w:rsidR="00C870D2">
        <w:rPr>
          <w:rFonts w:eastAsia="Arial"/>
        </w:rPr>
        <w:t xml:space="preserve"> </w:t>
      </w:r>
      <w:r w:rsidR="00C870D2">
        <w:rPr>
          <w:rFonts w:eastAsia="Arial"/>
        </w:rPr>
        <w:tab/>
      </w:r>
      <w:r w:rsidRPr="00557ED2">
        <w:rPr>
          <w:rFonts w:eastAsia="Arial"/>
        </w:rPr>
        <w:t xml:space="preserve"> Inne dokumenty i instrukcje</w:t>
      </w:r>
    </w:p>
    <w:p w:rsidR="00A915D3" w:rsidRPr="00557ED2" w:rsidRDefault="00A915D3" w:rsidP="00C870D2">
      <w:pPr>
        <w:ind w:left="567" w:hanging="283"/>
      </w:pPr>
      <w:r w:rsidRPr="00557ED2">
        <w:rPr>
          <w:rFonts w:eastAsia="Arial"/>
        </w:rPr>
        <w:t>– Warunki techniczne wykonania i odbioru robót budowlano-montażowych (tom I, część 4) Arkady, Warszawa 1990 r.</w:t>
      </w:r>
    </w:p>
    <w:p w:rsidR="00A915D3" w:rsidRPr="00557ED2" w:rsidRDefault="00A915D3" w:rsidP="00C870D2">
      <w:pPr>
        <w:ind w:left="567" w:hanging="283"/>
      </w:pPr>
      <w:r w:rsidRPr="00557ED2">
        <w:rPr>
          <w:rFonts w:eastAsia="Arial"/>
        </w:rPr>
        <w:t>– Warunki techniczne wykonania i odbioru robót budowlanych ITB część D: Roboty instalacyjne. Zeszyt 2: Instalacje elektryczne i piorunochronne w budynkach użyteczności publicznej. Warszawa 2004 r.</w:t>
      </w:r>
    </w:p>
    <w:p w:rsidR="00A915D3" w:rsidRPr="00557ED2" w:rsidRDefault="00A915D3" w:rsidP="00C870D2">
      <w:pPr>
        <w:ind w:left="567" w:hanging="283"/>
      </w:pPr>
      <w:r w:rsidRPr="00557ED2">
        <w:rPr>
          <w:rFonts w:eastAsia="Arial"/>
        </w:rPr>
        <w:t>– Specyfikacja techniczna wykonania i odbioru robót budowlanych. Wymagania ogólne. Kod CPV 45000000-7. Wydanie II, OWEOB Promocja – 2005 r.</w:t>
      </w:r>
    </w:p>
    <w:p w:rsidR="00A915D3" w:rsidRPr="00557ED2" w:rsidRDefault="00A915D3" w:rsidP="00C870D2">
      <w:r w:rsidRPr="00557ED2">
        <w:rPr>
          <w:rFonts w:eastAsia="Arial"/>
        </w:rPr>
        <w:lastRenderedPageBreak/>
        <w:t xml:space="preserve">10.2.2. </w:t>
      </w:r>
      <w:r w:rsidR="00C870D2">
        <w:rPr>
          <w:rFonts w:eastAsia="Arial"/>
        </w:rPr>
        <w:tab/>
        <w:t xml:space="preserve"> </w:t>
      </w:r>
      <w:r w:rsidRPr="00557ED2">
        <w:rPr>
          <w:rFonts w:eastAsia="Arial"/>
        </w:rPr>
        <w:t>Ustawy</w:t>
      </w:r>
    </w:p>
    <w:p w:rsidR="00A915D3" w:rsidRPr="00557ED2" w:rsidRDefault="00A915D3" w:rsidP="00C870D2">
      <w:pPr>
        <w:ind w:left="567" w:hanging="283"/>
        <w:rPr>
          <w:rFonts w:cstheme="minorHAnsi"/>
          <w:szCs w:val="20"/>
        </w:rPr>
      </w:pPr>
      <w:r w:rsidRPr="00557ED2">
        <w:rPr>
          <w:rFonts w:eastAsia="Arial" w:cstheme="minorHAnsi"/>
          <w:szCs w:val="20"/>
        </w:rPr>
        <w:t>–  Ustawa z dnia 16 kwietnia 2004 r. o wyrobach budowlanych (Dz. U. z 2004 r. Nr 92, poz. 881).</w:t>
      </w:r>
    </w:p>
    <w:p w:rsidR="00A915D3" w:rsidRPr="00557ED2" w:rsidRDefault="00A915D3" w:rsidP="00C870D2">
      <w:pPr>
        <w:ind w:left="567" w:right="280" w:hanging="283"/>
        <w:rPr>
          <w:rFonts w:cstheme="minorHAnsi"/>
          <w:szCs w:val="20"/>
        </w:rPr>
      </w:pPr>
      <w:r w:rsidRPr="00557ED2">
        <w:rPr>
          <w:rFonts w:eastAsia="Arial" w:cstheme="minorHAnsi"/>
          <w:szCs w:val="20"/>
        </w:rPr>
        <w:t xml:space="preserve">– Ustawa z dnia 7 lipca 1994 r. Prawo budowlane (Dz. U. z 2003 r. Nr 207, poz. 2016 z </w:t>
      </w:r>
      <w:proofErr w:type="spellStart"/>
      <w:r w:rsidRPr="00557ED2">
        <w:rPr>
          <w:rFonts w:eastAsia="Arial" w:cstheme="minorHAnsi"/>
          <w:szCs w:val="20"/>
        </w:rPr>
        <w:t>późn</w:t>
      </w:r>
      <w:proofErr w:type="spellEnd"/>
      <w:r w:rsidRPr="00557ED2">
        <w:rPr>
          <w:rFonts w:eastAsia="Arial" w:cstheme="minorHAnsi"/>
          <w:szCs w:val="20"/>
        </w:rPr>
        <w:t>. zmianami). 10.2.3. Rozporządzenia</w:t>
      </w:r>
    </w:p>
    <w:p w:rsidR="00A915D3" w:rsidRPr="00557ED2" w:rsidRDefault="00A915D3" w:rsidP="00C870D2">
      <w:pPr>
        <w:ind w:left="567" w:right="80" w:hanging="267"/>
        <w:rPr>
          <w:rFonts w:cstheme="minorHAnsi"/>
          <w:szCs w:val="20"/>
        </w:rPr>
      </w:pPr>
      <w:r w:rsidRPr="00557ED2">
        <w:rPr>
          <w:rFonts w:eastAsia="Arial" w:cstheme="minorHAnsi"/>
          <w:szCs w:val="20"/>
        </w:rPr>
        <w:t>– Rozporządzenie Ministra Infrastruktury z dnia 02.09.2004 r. w sprawie szczegółowego zakresu i formy dokumentacji projektowej, specyfikacji technicznych wykonania i odbioru robót budowlanych oraz programu funkcjonalno-użytkowego (Dz. U. z 2004 r. Nr 202, poz. 2072, zmiana Dz. U. z 2005 r. Nr 75, poz. 664).</w:t>
      </w:r>
    </w:p>
    <w:p w:rsidR="00A915D3" w:rsidRPr="00557ED2" w:rsidRDefault="00A915D3" w:rsidP="00C870D2">
      <w:pPr>
        <w:ind w:left="567" w:right="80" w:hanging="267"/>
        <w:rPr>
          <w:rFonts w:cstheme="minorHAnsi"/>
          <w:szCs w:val="20"/>
        </w:rPr>
      </w:pPr>
      <w:r w:rsidRPr="00557ED2">
        <w:rPr>
          <w:rFonts w:eastAsia="Arial" w:cstheme="minorHAnsi"/>
          <w:szCs w:val="20"/>
        </w:rPr>
        <w:t xml:space="preserve">– Rozporządzenie Ministra Infrastruktury z dnia 26.06.2002 r. w sprawie dziennika budowy, montażu i rozbiórki, tablicy informacyjnej oraz ogłoszenia zawierającego dane dotyczące bezpieczeństwa pracy i ochrony zdrowia (Dz. U. z 2002 r. Nr 108, poz. 953 z </w:t>
      </w:r>
      <w:proofErr w:type="spellStart"/>
      <w:r w:rsidRPr="00557ED2">
        <w:rPr>
          <w:rFonts w:eastAsia="Arial" w:cstheme="minorHAnsi"/>
          <w:szCs w:val="20"/>
        </w:rPr>
        <w:t>późn</w:t>
      </w:r>
      <w:proofErr w:type="spellEnd"/>
      <w:r w:rsidRPr="00557ED2">
        <w:rPr>
          <w:rFonts w:eastAsia="Arial" w:cstheme="minorHAnsi"/>
          <w:szCs w:val="20"/>
        </w:rPr>
        <w:t>. zmianami).</w:t>
      </w:r>
    </w:p>
    <w:p w:rsidR="00A915D3" w:rsidRPr="00557ED2" w:rsidRDefault="00A915D3" w:rsidP="00C870D2">
      <w:pPr>
        <w:ind w:left="567" w:right="80" w:hanging="267"/>
        <w:rPr>
          <w:rFonts w:cstheme="minorHAnsi"/>
          <w:szCs w:val="20"/>
        </w:rPr>
      </w:pPr>
      <w:r w:rsidRPr="00557ED2">
        <w:rPr>
          <w:rFonts w:eastAsia="Arial" w:cstheme="minorHAnsi"/>
          <w:szCs w:val="20"/>
        </w:rPr>
        <w:t>– Rozporządzenie Ministra Infrastruktury z dnia 11 sierpnia 2004 r. w sprawie sposobów deklarowania zgodności wyrobów budowlanych oraz sposobu znakowania ich znakiem budowlanym (Dz. U. z 2004 r. Nr 198, poz. 2041).</w:t>
      </w:r>
    </w:p>
    <w:p w:rsidR="00A915D3" w:rsidRPr="00557ED2" w:rsidRDefault="00A915D3" w:rsidP="00C870D2">
      <w:pPr>
        <w:ind w:left="567" w:right="80" w:hanging="267"/>
        <w:rPr>
          <w:rFonts w:cstheme="minorHAnsi"/>
          <w:szCs w:val="20"/>
        </w:rPr>
      </w:pPr>
      <w:r w:rsidRPr="00557ED2">
        <w:rPr>
          <w:rFonts w:eastAsia="Arial" w:cstheme="minorHAnsi"/>
          <w:szCs w:val="20"/>
        </w:rPr>
        <w:t>– Rozporządzenie Ministra Infrastruktury z 11 sierpnia 2004 r. w sprawie systemów oceny zgodności, wymagań, jakie powinny spełniać notyfikowane jednostki uczestniczące w ocenie zgodności oraz sposobu oznaczenia wyrobów budowlanych oznakowania CE (Dz. U. Nr 195, poz. 2011).</w:t>
      </w:r>
    </w:p>
    <w:sectPr w:rsidR="00A915D3" w:rsidRPr="00557ED2" w:rsidSect="006202D5">
      <w:footerReference w:type="default" r:id="rId8"/>
      <w:pgSz w:w="11900" w:h="16840"/>
      <w:pgMar w:top="1252" w:right="1100" w:bottom="1135" w:left="1701" w:header="0" w:footer="288" w:gutter="0"/>
      <w:cols w:space="708" w:equalWidth="0">
        <w:col w:w="9099"/>
      </w:cols>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57E1" w:rsidRDefault="005457E1" w:rsidP="006202D5">
      <w:pPr>
        <w:spacing w:before="0"/>
      </w:pPr>
      <w:r>
        <w:separator/>
      </w:r>
    </w:p>
  </w:endnote>
  <w:endnote w:type="continuationSeparator" w:id="0">
    <w:p w:rsidR="005457E1" w:rsidRDefault="005457E1" w:rsidP="006202D5">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sz w:val="28"/>
        <w:szCs w:val="28"/>
      </w:rPr>
      <w:id w:val="1858773696"/>
      <w:docPartObj>
        <w:docPartGallery w:val="Page Numbers (Bottom of Page)"/>
        <w:docPartUnique/>
      </w:docPartObj>
    </w:sdtPr>
    <w:sdtEndPr>
      <w:rPr>
        <w:rFonts w:asciiTheme="minorHAnsi" w:hAnsiTheme="minorHAnsi" w:cstheme="minorHAnsi"/>
        <w:sz w:val="16"/>
        <w:szCs w:val="16"/>
      </w:rPr>
    </w:sdtEndPr>
    <w:sdtContent>
      <w:p w:rsidR="00505061" w:rsidRPr="006202D5" w:rsidRDefault="00505061">
        <w:pPr>
          <w:pStyle w:val="Stopka"/>
          <w:jc w:val="right"/>
          <w:rPr>
            <w:rFonts w:eastAsiaTheme="majorEastAsia" w:cstheme="minorHAnsi"/>
            <w:sz w:val="16"/>
            <w:szCs w:val="16"/>
          </w:rPr>
        </w:pPr>
        <w:r w:rsidRPr="006202D5">
          <w:rPr>
            <w:rFonts w:eastAsiaTheme="majorEastAsia" w:cstheme="minorHAnsi"/>
            <w:sz w:val="16"/>
            <w:szCs w:val="16"/>
          </w:rPr>
          <w:t xml:space="preserve">str. </w:t>
        </w:r>
        <w:r w:rsidRPr="00432BA9">
          <w:rPr>
            <w:rFonts w:cstheme="minorHAnsi"/>
            <w:sz w:val="16"/>
            <w:szCs w:val="16"/>
          </w:rPr>
          <w:fldChar w:fldCharType="begin"/>
        </w:r>
        <w:r w:rsidRPr="006202D5">
          <w:rPr>
            <w:rFonts w:cstheme="minorHAnsi"/>
            <w:sz w:val="16"/>
            <w:szCs w:val="16"/>
          </w:rPr>
          <w:instrText>PAGE    \* MERGEFORMAT</w:instrText>
        </w:r>
        <w:r w:rsidRPr="00432BA9">
          <w:rPr>
            <w:rFonts w:cstheme="minorHAnsi"/>
            <w:sz w:val="16"/>
            <w:szCs w:val="16"/>
          </w:rPr>
          <w:fldChar w:fldCharType="separate"/>
        </w:r>
        <w:r w:rsidR="0037609B" w:rsidRPr="0037609B">
          <w:rPr>
            <w:rFonts w:eastAsiaTheme="majorEastAsia" w:cstheme="minorHAnsi"/>
            <w:noProof/>
            <w:sz w:val="16"/>
            <w:szCs w:val="16"/>
          </w:rPr>
          <w:t>8</w:t>
        </w:r>
        <w:r w:rsidRPr="006202D5">
          <w:rPr>
            <w:rFonts w:eastAsiaTheme="majorEastAsia" w:cstheme="minorHAnsi"/>
            <w:sz w:val="16"/>
            <w:szCs w:val="16"/>
          </w:rPr>
          <w:fldChar w:fldCharType="end"/>
        </w:r>
      </w:p>
    </w:sdtContent>
  </w:sdt>
  <w:p w:rsidR="00505061" w:rsidRDefault="00505061">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57E1" w:rsidRDefault="005457E1" w:rsidP="006202D5">
      <w:pPr>
        <w:spacing w:before="0"/>
      </w:pPr>
      <w:r>
        <w:separator/>
      </w:r>
    </w:p>
  </w:footnote>
  <w:footnote w:type="continuationSeparator" w:id="0">
    <w:p w:rsidR="005457E1" w:rsidRDefault="005457E1" w:rsidP="006202D5">
      <w:pPr>
        <w:spacing w:before="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01D82"/>
    <w:multiLevelType w:val="hybridMultilevel"/>
    <w:tmpl w:val="823A7E8E"/>
    <w:lvl w:ilvl="0" w:tplc="A0E4DC88">
      <w:start w:val="1"/>
      <w:numFmt w:val="bullet"/>
      <w:lvlText w:val="\endash "/>
      <w:lvlJc w:val="left"/>
    </w:lvl>
    <w:lvl w:ilvl="1" w:tplc="FAA42C80">
      <w:numFmt w:val="decimal"/>
      <w:lvlText w:val=""/>
      <w:lvlJc w:val="left"/>
    </w:lvl>
    <w:lvl w:ilvl="2" w:tplc="8910A814">
      <w:numFmt w:val="decimal"/>
      <w:lvlText w:val=""/>
      <w:lvlJc w:val="left"/>
    </w:lvl>
    <w:lvl w:ilvl="3" w:tplc="B6BE1368">
      <w:numFmt w:val="decimal"/>
      <w:lvlText w:val=""/>
      <w:lvlJc w:val="left"/>
    </w:lvl>
    <w:lvl w:ilvl="4" w:tplc="C3A63E7A">
      <w:numFmt w:val="decimal"/>
      <w:lvlText w:val=""/>
      <w:lvlJc w:val="left"/>
    </w:lvl>
    <w:lvl w:ilvl="5" w:tplc="4208BEF2">
      <w:numFmt w:val="decimal"/>
      <w:lvlText w:val=""/>
      <w:lvlJc w:val="left"/>
    </w:lvl>
    <w:lvl w:ilvl="6" w:tplc="D40ECCBC">
      <w:numFmt w:val="decimal"/>
      <w:lvlText w:val=""/>
      <w:lvlJc w:val="left"/>
    </w:lvl>
    <w:lvl w:ilvl="7" w:tplc="BF5E0E78">
      <w:numFmt w:val="decimal"/>
      <w:lvlText w:val=""/>
      <w:lvlJc w:val="left"/>
    </w:lvl>
    <w:lvl w:ilvl="8" w:tplc="6212A634">
      <w:numFmt w:val="decimal"/>
      <w:lvlText w:val=""/>
      <w:lvlJc w:val="left"/>
    </w:lvl>
  </w:abstractNum>
  <w:abstractNum w:abstractNumId="1">
    <w:nsid w:val="08138641"/>
    <w:multiLevelType w:val="hybridMultilevel"/>
    <w:tmpl w:val="DC9A83A8"/>
    <w:lvl w:ilvl="0" w:tplc="5F907724">
      <w:start w:val="1"/>
      <w:numFmt w:val="bullet"/>
      <w:lvlText w:val="\endash "/>
      <w:lvlJc w:val="left"/>
    </w:lvl>
    <w:lvl w:ilvl="1" w:tplc="159ED2BA">
      <w:numFmt w:val="decimal"/>
      <w:lvlText w:val=""/>
      <w:lvlJc w:val="left"/>
    </w:lvl>
    <w:lvl w:ilvl="2" w:tplc="C12E9048">
      <w:numFmt w:val="decimal"/>
      <w:lvlText w:val=""/>
      <w:lvlJc w:val="left"/>
    </w:lvl>
    <w:lvl w:ilvl="3" w:tplc="87E270F2">
      <w:numFmt w:val="decimal"/>
      <w:lvlText w:val=""/>
      <w:lvlJc w:val="left"/>
    </w:lvl>
    <w:lvl w:ilvl="4" w:tplc="5EBE1EFA">
      <w:numFmt w:val="decimal"/>
      <w:lvlText w:val=""/>
      <w:lvlJc w:val="left"/>
    </w:lvl>
    <w:lvl w:ilvl="5" w:tplc="DC7E76E0">
      <w:numFmt w:val="decimal"/>
      <w:lvlText w:val=""/>
      <w:lvlJc w:val="left"/>
    </w:lvl>
    <w:lvl w:ilvl="6" w:tplc="E4FC4CDA">
      <w:numFmt w:val="decimal"/>
      <w:lvlText w:val=""/>
      <w:lvlJc w:val="left"/>
    </w:lvl>
    <w:lvl w:ilvl="7" w:tplc="9ADC798C">
      <w:numFmt w:val="decimal"/>
      <w:lvlText w:val=""/>
      <w:lvlJc w:val="left"/>
    </w:lvl>
    <w:lvl w:ilvl="8" w:tplc="93DE0EA2">
      <w:numFmt w:val="decimal"/>
      <w:lvlText w:val=""/>
      <w:lvlJc w:val="left"/>
    </w:lvl>
  </w:abstractNum>
  <w:abstractNum w:abstractNumId="2">
    <w:nsid w:val="0836C40E"/>
    <w:multiLevelType w:val="hybridMultilevel"/>
    <w:tmpl w:val="2216146A"/>
    <w:lvl w:ilvl="0" w:tplc="8AB4817E">
      <w:start w:val="10"/>
      <w:numFmt w:val="decimal"/>
      <w:lvlText w:val="%1."/>
      <w:lvlJc w:val="left"/>
    </w:lvl>
    <w:lvl w:ilvl="1" w:tplc="1DF81CD6">
      <w:numFmt w:val="decimal"/>
      <w:lvlText w:val=""/>
      <w:lvlJc w:val="left"/>
    </w:lvl>
    <w:lvl w:ilvl="2" w:tplc="B456F6C6">
      <w:numFmt w:val="decimal"/>
      <w:lvlText w:val=""/>
      <w:lvlJc w:val="left"/>
    </w:lvl>
    <w:lvl w:ilvl="3" w:tplc="BFBE8C76">
      <w:numFmt w:val="decimal"/>
      <w:lvlText w:val=""/>
      <w:lvlJc w:val="left"/>
    </w:lvl>
    <w:lvl w:ilvl="4" w:tplc="F216FDA2">
      <w:numFmt w:val="decimal"/>
      <w:lvlText w:val=""/>
      <w:lvlJc w:val="left"/>
    </w:lvl>
    <w:lvl w:ilvl="5" w:tplc="CFEAD34E">
      <w:numFmt w:val="decimal"/>
      <w:lvlText w:val=""/>
      <w:lvlJc w:val="left"/>
    </w:lvl>
    <w:lvl w:ilvl="6" w:tplc="D4F0BC96">
      <w:numFmt w:val="decimal"/>
      <w:lvlText w:val=""/>
      <w:lvlJc w:val="left"/>
    </w:lvl>
    <w:lvl w:ilvl="7" w:tplc="5FF253CE">
      <w:numFmt w:val="decimal"/>
      <w:lvlText w:val=""/>
      <w:lvlJc w:val="left"/>
    </w:lvl>
    <w:lvl w:ilvl="8" w:tplc="8CB8DBB0">
      <w:numFmt w:val="decimal"/>
      <w:lvlText w:val=""/>
      <w:lvlJc w:val="left"/>
    </w:lvl>
  </w:abstractNum>
  <w:abstractNum w:abstractNumId="3">
    <w:nsid w:val="08EDBDAB"/>
    <w:multiLevelType w:val="hybridMultilevel"/>
    <w:tmpl w:val="85ACA3F2"/>
    <w:lvl w:ilvl="0" w:tplc="082E0C64">
      <w:start w:val="10"/>
      <w:numFmt w:val="decimal"/>
      <w:lvlText w:val="%1."/>
      <w:lvlJc w:val="left"/>
    </w:lvl>
    <w:lvl w:ilvl="1" w:tplc="9F1EEE4C">
      <w:numFmt w:val="decimal"/>
      <w:lvlText w:val=""/>
      <w:lvlJc w:val="left"/>
    </w:lvl>
    <w:lvl w:ilvl="2" w:tplc="9418CB7C">
      <w:numFmt w:val="decimal"/>
      <w:lvlText w:val=""/>
      <w:lvlJc w:val="left"/>
    </w:lvl>
    <w:lvl w:ilvl="3" w:tplc="04B886B4">
      <w:numFmt w:val="decimal"/>
      <w:lvlText w:val=""/>
      <w:lvlJc w:val="left"/>
    </w:lvl>
    <w:lvl w:ilvl="4" w:tplc="38A21D20">
      <w:numFmt w:val="decimal"/>
      <w:lvlText w:val=""/>
      <w:lvlJc w:val="left"/>
    </w:lvl>
    <w:lvl w:ilvl="5" w:tplc="C3B47698">
      <w:numFmt w:val="decimal"/>
      <w:lvlText w:val=""/>
      <w:lvlJc w:val="left"/>
    </w:lvl>
    <w:lvl w:ilvl="6" w:tplc="4746A516">
      <w:numFmt w:val="decimal"/>
      <w:lvlText w:val=""/>
      <w:lvlJc w:val="left"/>
    </w:lvl>
    <w:lvl w:ilvl="7" w:tplc="A8320978">
      <w:numFmt w:val="decimal"/>
      <w:lvlText w:val=""/>
      <w:lvlJc w:val="left"/>
    </w:lvl>
    <w:lvl w:ilvl="8" w:tplc="B2FCF7B6">
      <w:numFmt w:val="decimal"/>
      <w:lvlText w:val=""/>
      <w:lvlJc w:val="left"/>
    </w:lvl>
  </w:abstractNum>
  <w:abstractNum w:abstractNumId="4">
    <w:nsid w:val="0B03E0C6"/>
    <w:multiLevelType w:val="hybridMultilevel"/>
    <w:tmpl w:val="3FD2AEC8"/>
    <w:lvl w:ilvl="0" w:tplc="C0FC03F8">
      <w:start w:val="1"/>
      <w:numFmt w:val="bullet"/>
      <w:lvlText w:val="\endash "/>
      <w:lvlJc w:val="left"/>
    </w:lvl>
    <w:lvl w:ilvl="1" w:tplc="8F74DBB0">
      <w:numFmt w:val="decimal"/>
      <w:lvlText w:val=""/>
      <w:lvlJc w:val="left"/>
    </w:lvl>
    <w:lvl w:ilvl="2" w:tplc="787A800C">
      <w:numFmt w:val="decimal"/>
      <w:lvlText w:val=""/>
      <w:lvlJc w:val="left"/>
    </w:lvl>
    <w:lvl w:ilvl="3" w:tplc="F4202068">
      <w:numFmt w:val="decimal"/>
      <w:lvlText w:val=""/>
      <w:lvlJc w:val="left"/>
    </w:lvl>
    <w:lvl w:ilvl="4" w:tplc="B6766CE8">
      <w:numFmt w:val="decimal"/>
      <w:lvlText w:val=""/>
      <w:lvlJc w:val="left"/>
    </w:lvl>
    <w:lvl w:ilvl="5" w:tplc="8CF2A61C">
      <w:numFmt w:val="decimal"/>
      <w:lvlText w:val=""/>
      <w:lvlJc w:val="left"/>
    </w:lvl>
    <w:lvl w:ilvl="6" w:tplc="F2564EBA">
      <w:numFmt w:val="decimal"/>
      <w:lvlText w:val=""/>
      <w:lvlJc w:val="left"/>
    </w:lvl>
    <w:lvl w:ilvl="7" w:tplc="C8E0F6AA">
      <w:numFmt w:val="decimal"/>
      <w:lvlText w:val=""/>
      <w:lvlJc w:val="left"/>
    </w:lvl>
    <w:lvl w:ilvl="8" w:tplc="A344D7A2">
      <w:numFmt w:val="decimal"/>
      <w:lvlText w:val=""/>
      <w:lvlJc w:val="left"/>
    </w:lvl>
  </w:abstractNum>
  <w:abstractNum w:abstractNumId="5">
    <w:nsid w:val="0DED7263"/>
    <w:multiLevelType w:val="hybridMultilevel"/>
    <w:tmpl w:val="B85A0988"/>
    <w:lvl w:ilvl="0" w:tplc="EB5CCC6E">
      <w:start w:val="1"/>
      <w:numFmt w:val="lowerLetter"/>
      <w:lvlText w:val="%1)"/>
      <w:lvlJc w:val="left"/>
    </w:lvl>
    <w:lvl w:ilvl="1" w:tplc="12FA7148">
      <w:numFmt w:val="decimal"/>
      <w:lvlText w:val=""/>
      <w:lvlJc w:val="left"/>
    </w:lvl>
    <w:lvl w:ilvl="2" w:tplc="4A44A35A">
      <w:numFmt w:val="decimal"/>
      <w:lvlText w:val=""/>
      <w:lvlJc w:val="left"/>
    </w:lvl>
    <w:lvl w:ilvl="3" w:tplc="5F0EFD7A">
      <w:numFmt w:val="decimal"/>
      <w:lvlText w:val=""/>
      <w:lvlJc w:val="left"/>
    </w:lvl>
    <w:lvl w:ilvl="4" w:tplc="C194F19A">
      <w:numFmt w:val="decimal"/>
      <w:lvlText w:val=""/>
      <w:lvlJc w:val="left"/>
    </w:lvl>
    <w:lvl w:ilvl="5" w:tplc="644ACCF2">
      <w:numFmt w:val="decimal"/>
      <w:lvlText w:val=""/>
      <w:lvlJc w:val="left"/>
    </w:lvl>
    <w:lvl w:ilvl="6" w:tplc="F4562240">
      <w:numFmt w:val="decimal"/>
      <w:lvlText w:val=""/>
      <w:lvlJc w:val="left"/>
    </w:lvl>
    <w:lvl w:ilvl="7" w:tplc="7618DDA0">
      <w:numFmt w:val="decimal"/>
      <w:lvlText w:val=""/>
      <w:lvlJc w:val="left"/>
    </w:lvl>
    <w:lvl w:ilvl="8" w:tplc="E9145B2A">
      <w:numFmt w:val="decimal"/>
      <w:lvlText w:val=""/>
      <w:lvlJc w:val="left"/>
    </w:lvl>
  </w:abstractNum>
  <w:abstractNum w:abstractNumId="6">
    <w:nsid w:val="109CF92E"/>
    <w:multiLevelType w:val="hybridMultilevel"/>
    <w:tmpl w:val="107A993E"/>
    <w:lvl w:ilvl="0" w:tplc="45E83528">
      <w:start w:val="1"/>
      <w:numFmt w:val="decimal"/>
      <w:lvlText w:val="%1."/>
      <w:lvlJc w:val="left"/>
    </w:lvl>
    <w:lvl w:ilvl="1" w:tplc="C4081602">
      <w:numFmt w:val="decimal"/>
      <w:lvlText w:val=""/>
      <w:lvlJc w:val="left"/>
    </w:lvl>
    <w:lvl w:ilvl="2" w:tplc="96247C5C">
      <w:numFmt w:val="decimal"/>
      <w:lvlText w:val=""/>
      <w:lvlJc w:val="left"/>
    </w:lvl>
    <w:lvl w:ilvl="3" w:tplc="745A1978">
      <w:numFmt w:val="decimal"/>
      <w:lvlText w:val=""/>
      <w:lvlJc w:val="left"/>
    </w:lvl>
    <w:lvl w:ilvl="4" w:tplc="902C7972">
      <w:numFmt w:val="decimal"/>
      <w:lvlText w:val=""/>
      <w:lvlJc w:val="left"/>
    </w:lvl>
    <w:lvl w:ilvl="5" w:tplc="6C60F868">
      <w:numFmt w:val="decimal"/>
      <w:lvlText w:val=""/>
      <w:lvlJc w:val="left"/>
    </w:lvl>
    <w:lvl w:ilvl="6" w:tplc="7020D3CE">
      <w:numFmt w:val="decimal"/>
      <w:lvlText w:val=""/>
      <w:lvlJc w:val="left"/>
    </w:lvl>
    <w:lvl w:ilvl="7" w:tplc="0902CE8A">
      <w:numFmt w:val="decimal"/>
      <w:lvlText w:val=""/>
      <w:lvlJc w:val="left"/>
    </w:lvl>
    <w:lvl w:ilvl="8" w:tplc="11ECFB28">
      <w:numFmt w:val="decimal"/>
      <w:lvlText w:val=""/>
      <w:lvlJc w:val="left"/>
    </w:lvl>
  </w:abstractNum>
  <w:abstractNum w:abstractNumId="7">
    <w:nsid w:val="189A769B"/>
    <w:multiLevelType w:val="hybridMultilevel"/>
    <w:tmpl w:val="73421628"/>
    <w:lvl w:ilvl="0" w:tplc="5BE60B16">
      <w:start w:val="1"/>
      <w:numFmt w:val="bullet"/>
      <w:lvlText w:val="\endash "/>
      <w:lvlJc w:val="left"/>
    </w:lvl>
    <w:lvl w:ilvl="1" w:tplc="A8B23406">
      <w:numFmt w:val="decimal"/>
      <w:lvlText w:val=""/>
      <w:lvlJc w:val="left"/>
    </w:lvl>
    <w:lvl w:ilvl="2" w:tplc="4E80DCC0">
      <w:numFmt w:val="decimal"/>
      <w:lvlText w:val=""/>
      <w:lvlJc w:val="left"/>
    </w:lvl>
    <w:lvl w:ilvl="3" w:tplc="38C077B6">
      <w:numFmt w:val="decimal"/>
      <w:lvlText w:val=""/>
      <w:lvlJc w:val="left"/>
    </w:lvl>
    <w:lvl w:ilvl="4" w:tplc="F0B87F42">
      <w:numFmt w:val="decimal"/>
      <w:lvlText w:val=""/>
      <w:lvlJc w:val="left"/>
    </w:lvl>
    <w:lvl w:ilvl="5" w:tplc="6E3EABFE">
      <w:numFmt w:val="decimal"/>
      <w:lvlText w:val=""/>
      <w:lvlJc w:val="left"/>
    </w:lvl>
    <w:lvl w:ilvl="6" w:tplc="9CE6907C">
      <w:numFmt w:val="decimal"/>
      <w:lvlText w:val=""/>
      <w:lvlJc w:val="left"/>
    </w:lvl>
    <w:lvl w:ilvl="7" w:tplc="8CBCA99A">
      <w:numFmt w:val="decimal"/>
      <w:lvlText w:val=""/>
      <w:lvlJc w:val="left"/>
    </w:lvl>
    <w:lvl w:ilvl="8" w:tplc="1EB0D1DA">
      <w:numFmt w:val="decimal"/>
      <w:lvlText w:val=""/>
      <w:lvlJc w:val="left"/>
    </w:lvl>
  </w:abstractNum>
  <w:abstractNum w:abstractNumId="8">
    <w:nsid w:val="1BEFD79F"/>
    <w:multiLevelType w:val="hybridMultilevel"/>
    <w:tmpl w:val="D562870A"/>
    <w:lvl w:ilvl="0" w:tplc="0EC4C13E">
      <w:start w:val="1"/>
      <w:numFmt w:val="lowerLetter"/>
      <w:lvlText w:val="%1)"/>
      <w:lvlJc w:val="left"/>
    </w:lvl>
    <w:lvl w:ilvl="1" w:tplc="10F00AA2">
      <w:numFmt w:val="decimal"/>
      <w:lvlText w:val=""/>
      <w:lvlJc w:val="left"/>
    </w:lvl>
    <w:lvl w:ilvl="2" w:tplc="6B6A6274">
      <w:numFmt w:val="decimal"/>
      <w:lvlText w:val=""/>
      <w:lvlJc w:val="left"/>
    </w:lvl>
    <w:lvl w:ilvl="3" w:tplc="80585100">
      <w:numFmt w:val="decimal"/>
      <w:lvlText w:val=""/>
      <w:lvlJc w:val="left"/>
    </w:lvl>
    <w:lvl w:ilvl="4" w:tplc="0762A342">
      <w:numFmt w:val="decimal"/>
      <w:lvlText w:val=""/>
      <w:lvlJc w:val="left"/>
    </w:lvl>
    <w:lvl w:ilvl="5" w:tplc="AF06159A">
      <w:numFmt w:val="decimal"/>
      <w:lvlText w:val=""/>
      <w:lvlJc w:val="left"/>
    </w:lvl>
    <w:lvl w:ilvl="6" w:tplc="187E07DE">
      <w:numFmt w:val="decimal"/>
      <w:lvlText w:val=""/>
      <w:lvlJc w:val="left"/>
    </w:lvl>
    <w:lvl w:ilvl="7" w:tplc="21A2C8BE">
      <w:numFmt w:val="decimal"/>
      <w:lvlText w:val=""/>
      <w:lvlJc w:val="left"/>
    </w:lvl>
    <w:lvl w:ilvl="8" w:tplc="D4CAD5A4">
      <w:numFmt w:val="decimal"/>
      <w:lvlText w:val=""/>
      <w:lvlJc w:val="left"/>
    </w:lvl>
  </w:abstractNum>
  <w:abstractNum w:abstractNumId="9">
    <w:nsid w:val="2443A858"/>
    <w:multiLevelType w:val="hybridMultilevel"/>
    <w:tmpl w:val="AAD6780A"/>
    <w:lvl w:ilvl="0" w:tplc="9D822610">
      <w:start w:val="1"/>
      <w:numFmt w:val="lowerLetter"/>
      <w:lvlText w:val="%1)"/>
      <w:lvlJc w:val="left"/>
    </w:lvl>
    <w:lvl w:ilvl="1" w:tplc="8A9AB13E">
      <w:numFmt w:val="decimal"/>
      <w:lvlText w:val=""/>
      <w:lvlJc w:val="left"/>
    </w:lvl>
    <w:lvl w:ilvl="2" w:tplc="49A82FA4">
      <w:numFmt w:val="decimal"/>
      <w:lvlText w:val=""/>
      <w:lvlJc w:val="left"/>
    </w:lvl>
    <w:lvl w:ilvl="3" w:tplc="27AC6BEA">
      <w:numFmt w:val="decimal"/>
      <w:lvlText w:val=""/>
      <w:lvlJc w:val="left"/>
    </w:lvl>
    <w:lvl w:ilvl="4" w:tplc="68FAD8EC">
      <w:numFmt w:val="decimal"/>
      <w:lvlText w:val=""/>
      <w:lvlJc w:val="left"/>
    </w:lvl>
    <w:lvl w:ilvl="5" w:tplc="5448BD42">
      <w:numFmt w:val="decimal"/>
      <w:lvlText w:val=""/>
      <w:lvlJc w:val="left"/>
    </w:lvl>
    <w:lvl w:ilvl="6" w:tplc="26E21C30">
      <w:numFmt w:val="decimal"/>
      <w:lvlText w:val=""/>
      <w:lvlJc w:val="left"/>
    </w:lvl>
    <w:lvl w:ilvl="7" w:tplc="C10C7F7E">
      <w:numFmt w:val="decimal"/>
      <w:lvlText w:val=""/>
      <w:lvlJc w:val="left"/>
    </w:lvl>
    <w:lvl w:ilvl="8" w:tplc="9376BA18">
      <w:numFmt w:val="decimal"/>
      <w:lvlText w:val=""/>
      <w:lvlJc w:val="left"/>
    </w:lvl>
  </w:abstractNum>
  <w:abstractNum w:abstractNumId="10">
    <w:nsid w:val="257130A3"/>
    <w:multiLevelType w:val="hybridMultilevel"/>
    <w:tmpl w:val="EE3E6A32"/>
    <w:lvl w:ilvl="0" w:tplc="6C04457E">
      <w:start w:val="1"/>
      <w:numFmt w:val="bullet"/>
      <w:lvlText w:val="-"/>
      <w:lvlJc w:val="left"/>
    </w:lvl>
    <w:lvl w:ilvl="1" w:tplc="72A6D48E">
      <w:numFmt w:val="decimal"/>
      <w:lvlText w:val=""/>
      <w:lvlJc w:val="left"/>
    </w:lvl>
    <w:lvl w:ilvl="2" w:tplc="ECC854DC">
      <w:numFmt w:val="decimal"/>
      <w:lvlText w:val=""/>
      <w:lvlJc w:val="left"/>
    </w:lvl>
    <w:lvl w:ilvl="3" w:tplc="14648C1C">
      <w:numFmt w:val="decimal"/>
      <w:lvlText w:val=""/>
      <w:lvlJc w:val="left"/>
    </w:lvl>
    <w:lvl w:ilvl="4" w:tplc="86DE6A2A">
      <w:numFmt w:val="decimal"/>
      <w:lvlText w:val=""/>
      <w:lvlJc w:val="left"/>
    </w:lvl>
    <w:lvl w:ilvl="5" w:tplc="63CE4A08">
      <w:numFmt w:val="decimal"/>
      <w:lvlText w:val=""/>
      <w:lvlJc w:val="left"/>
    </w:lvl>
    <w:lvl w:ilvl="6" w:tplc="9BD85376">
      <w:numFmt w:val="decimal"/>
      <w:lvlText w:val=""/>
      <w:lvlJc w:val="left"/>
    </w:lvl>
    <w:lvl w:ilvl="7" w:tplc="69BCA7E4">
      <w:numFmt w:val="decimal"/>
      <w:lvlText w:val=""/>
      <w:lvlJc w:val="left"/>
    </w:lvl>
    <w:lvl w:ilvl="8" w:tplc="6AC2EC56">
      <w:numFmt w:val="decimal"/>
      <w:lvlText w:val=""/>
      <w:lvlJc w:val="left"/>
    </w:lvl>
  </w:abstractNum>
  <w:abstractNum w:abstractNumId="11">
    <w:nsid w:val="25E45D32"/>
    <w:multiLevelType w:val="hybridMultilevel"/>
    <w:tmpl w:val="6B76139A"/>
    <w:lvl w:ilvl="0" w:tplc="6AD4C946">
      <w:start w:val="4"/>
      <w:numFmt w:val="decimal"/>
      <w:lvlText w:val="%1."/>
      <w:lvlJc w:val="left"/>
    </w:lvl>
    <w:lvl w:ilvl="1" w:tplc="F6EA2812">
      <w:numFmt w:val="decimal"/>
      <w:lvlText w:val=""/>
      <w:lvlJc w:val="left"/>
    </w:lvl>
    <w:lvl w:ilvl="2" w:tplc="A7D04728">
      <w:numFmt w:val="decimal"/>
      <w:lvlText w:val=""/>
      <w:lvlJc w:val="left"/>
    </w:lvl>
    <w:lvl w:ilvl="3" w:tplc="5192B386">
      <w:numFmt w:val="decimal"/>
      <w:lvlText w:val=""/>
      <w:lvlJc w:val="left"/>
    </w:lvl>
    <w:lvl w:ilvl="4" w:tplc="8FC4E2F6">
      <w:numFmt w:val="decimal"/>
      <w:lvlText w:val=""/>
      <w:lvlJc w:val="left"/>
    </w:lvl>
    <w:lvl w:ilvl="5" w:tplc="B5C2542A">
      <w:numFmt w:val="decimal"/>
      <w:lvlText w:val=""/>
      <w:lvlJc w:val="left"/>
    </w:lvl>
    <w:lvl w:ilvl="6" w:tplc="4E02F79C">
      <w:numFmt w:val="decimal"/>
      <w:lvlText w:val=""/>
      <w:lvlJc w:val="left"/>
    </w:lvl>
    <w:lvl w:ilvl="7" w:tplc="9FA274DE">
      <w:numFmt w:val="decimal"/>
      <w:lvlText w:val=""/>
      <w:lvlJc w:val="left"/>
    </w:lvl>
    <w:lvl w:ilvl="8" w:tplc="ED9E7CCA">
      <w:numFmt w:val="decimal"/>
      <w:lvlText w:val=""/>
      <w:lvlJc w:val="left"/>
    </w:lvl>
  </w:abstractNum>
  <w:abstractNum w:abstractNumId="12">
    <w:nsid w:val="273E2346"/>
    <w:multiLevelType w:val="hybridMultilevel"/>
    <w:tmpl w:val="DBA03674"/>
    <w:lvl w:ilvl="0" w:tplc="47CAA0E4">
      <w:start w:val="1"/>
      <w:numFmt w:val="decimal"/>
      <w:pStyle w:val="Nagwek1"/>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2CA88611"/>
    <w:multiLevelType w:val="hybridMultilevel"/>
    <w:tmpl w:val="5DB41A8C"/>
    <w:lvl w:ilvl="0" w:tplc="B2666E58">
      <w:start w:val="1"/>
      <w:numFmt w:val="bullet"/>
      <w:lvlText w:val="\endash "/>
      <w:lvlJc w:val="left"/>
    </w:lvl>
    <w:lvl w:ilvl="1" w:tplc="C4C2BD44">
      <w:numFmt w:val="decimal"/>
      <w:lvlText w:val=""/>
      <w:lvlJc w:val="left"/>
    </w:lvl>
    <w:lvl w:ilvl="2" w:tplc="7EB08C28">
      <w:numFmt w:val="decimal"/>
      <w:lvlText w:val=""/>
      <w:lvlJc w:val="left"/>
    </w:lvl>
    <w:lvl w:ilvl="3" w:tplc="52227722">
      <w:numFmt w:val="decimal"/>
      <w:lvlText w:val=""/>
      <w:lvlJc w:val="left"/>
    </w:lvl>
    <w:lvl w:ilvl="4" w:tplc="CBAC0B10">
      <w:numFmt w:val="decimal"/>
      <w:lvlText w:val=""/>
      <w:lvlJc w:val="left"/>
    </w:lvl>
    <w:lvl w:ilvl="5" w:tplc="A778188A">
      <w:numFmt w:val="decimal"/>
      <w:lvlText w:val=""/>
      <w:lvlJc w:val="left"/>
    </w:lvl>
    <w:lvl w:ilvl="6" w:tplc="ACE41F36">
      <w:numFmt w:val="decimal"/>
      <w:lvlText w:val=""/>
      <w:lvlJc w:val="left"/>
    </w:lvl>
    <w:lvl w:ilvl="7" w:tplc="C47A2D7E">
      <w:numFmt w:val="decimal"/>
      <w:lvlText w:val=""/>
      <w:lvlJc w:val="left"/>
    </w:lvl>
    <w:lvl w:ilvl="8" w:tplc="841468C8">
      <w:numFmt w:val="decimal"/>
      <w:lvlText w:val=""/>
      <w:lvlJc w:val="left"/>
    </w:lvl>
  </w:abstractNum>
  <w:abstractNum w:abstractNumId="14">
    <w:nsid w:val="2D1D5AE9"/>
    <w:multiLevelType w:val="hybridMultilevel"/>
    <w:tmpl w:val="D006F78E"/>
    <w:lvl w:ilvl="0" w:tplc="96D4B4F8">
      <w:start w:val="1"/>
      <w:numFmt w:val="decimal"/>
      <w:lvlText w:val="%1."/>
      <w:lvlJc w:val="left"/>
    </w:lvl>
    <w:lvl w:ilvl="1" w:tplc="09148AB8">
      <w:numFmt w:val="decimal"/>
      <w:lvlText w:val=""/>
      <w:lvlJc w:val="left"/>
    </w:lvl>
    <w:lvl w:ilvl="2" w:tplc="25F6ACE6">
      <w:numFmt w:val="decimal"/>
      <w:lvlText w:val=""/>
      <w:lvlJc w:val="left"/>
    </w:lvl>
    <w:lvl w:ilvl="3" w:tplc="6F72C62E">
      <w:numFmt w:val="decimal"/>
      <w:lvlText w:val=""/>
      <w:lvlJc w:val="left"/>
    </w:lvl>
    <w:lvl w:ilvl="4" w:tplc="7E227BAA">
      <w:numFmt w:val="decimal"/>
      <w:lvlText w:val=""/>
      <w:lvlJc w:val="left"/>
    </w:lvl>
    <w:lvl w:ilvl="5" w:tplc="A378B136">
      <w:numFmt w:val="decimal"/>
      <w:lvlText w:val=""/>
      <w:lvlJc w:val="left"/>
    </w:lvl>
    <w:lvl w:ilvl="6" w:tplc="E0F6C766">
      <w:numFmt w:val="decimal"/>
      <w:lvlText w:val=""/>
      <w:lvlJc w:val="left"/>
    </w:lvl>
    <w:lvl w:ilvl="7" w:tplc="4AB8EC68">
      <w:numFmt w:val="decimal"/>
      <w:lvlText w:val=""/>
      <w:lvlJc w:val="left"/>
    </w:lvl>
    <w:lvl w:ilvl="8" w:tplc="E0F8160A">
      <w:numFmt w:val="decimal"/>
      <w:lvlText w:val=""/>
      <w:lvlJc w:val="left"/>
    </w:lvl>
  </w:abstractNum>
  <w:abstractNum w:abstractNumId="15">
    <w:nsid w:val="31B7650D"/>
    <w:multiLevelType w:val="hybridMultilevel"/>
    <w:tmpl w:val="1338B5B4"/>
    <w:lvl w:ilvl="0" w:tplc="E03AA818">
      <w:start w:val="1"/>
      <w:numFmt w:val="decimal"/>
      <w:lvlText w:val="%1."/>
      <w:lvlJc w:val="left"/>
      <w:pPr>
        <w:ind w:left="720" w:hanging="360"/>
      </w:pPr>
      <w:rPr>
        <w:rFonts w:eastAsia="Arial" w:hint="default"/>
        <w:w w:val="97"/>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333AB105"/>
    <w:multiLevelType w:val="hybridMultilevel"/>
    <w:tmpl w:val="92625D26"/>
    <w:lvl w:ilvl="0" w:tplc="12548C8A">
      <w:start w:val="7"/>
      <w:numFmt w:val="decimal"/>
      <w:lvlText w:val="%1."/>
      <w:lvlJc w:val="left"/>
    </w:lvl>
    <w:lvl w:ilvl="1" w:tplc="EF46E544">
      <w:numFmt w:val="decimal"/>
      <w:lvlText w:val=""/>
      <w:lvlJc w:val="left"/>
    </w:lvl>
    <w:lvl w:ilvl="2" w:tplc="025CBD1E">
      <w:numFmt w:val="decimal"/>
      <w:lvlText w:val=""/>
      <w:lvlJc w:val="left"/>
    </w:lvl>
    <w:lvl w:ilvl="3" w:tplc="CBDC5B00">
      <w:numFmt w:val="decimal"/>
      <w:lvlText w:val=""/>
      <w:lvlJc w:val="left"/>
    </w:lvl>
    <w:lvl w:ilvl="4" w:tplc="9A7275AA">
      <w:numFmt w:val="decimal"/>
      <w:lvlText w:val=""/>
      <w:lvlJc w:val="left"/>
    </w:lvl>
    <w:lvl w:ilvl="5" w:tplc="5D1EA56C">
      <w:numFmt w:val="decimal"/>
      <w:lvlText w:val=""/>
      <w:lvlJc w:val="left"/>
    </w:lvl>
    <w:lvl w:ilvl="6" w:tplc="8CFE8CB2">
      <w:numFmt w:val="decimal"/>
      <w:lvlText w:val=""/>
      <w:lvlJc w:val="left"/>
    </w:lvl>
    <w:lvl w:ilvl="7" w:tplc="F13AE9BA">
      <w:numFmt w:val="decimal"/>
      <w:lvlText w:val=""/>
      <w:lvlJc w:val="left"/>
    </w:lvl>
    <w:lvl w:ilvl="8" w:tplc="0882CDE6">
      <w:numFmt w:val="decimal"/>
      <w:lvlText w:val=""/>
      <w:lvlJc w:val="left"/>
    </w:lvl>
  </w:abstractNum>
  <w:abstractNum w:abstractNumId="17">
    <w:nsid w:val="3A95F874"/>
    <w:multiLevelType w:val="hybridMultilevel"/>
    <w:tmpl w:val="90661E9E"/>
    <w:lvl w:ilvl="0" w:tplc="F31E4520">
      <w:start w:val="1"/>
      <w:numFmt w:val="bullet"/>
      <w:lvlText w:val="\endash "/>
      <w:lvlJc w:val="left"/>
    </w:lvl>
    <w:lvl w:ilvl="1" w:tplc="66680340">
      <w:numFmt w:val="decimal"/>
      <w:lvlText w:val=""/>
      <w:lvlJc w:val="left"/>
    </w:lvl>
    <w:lvl w:ilvl="2" w:tplc="217292CC">
      <w:numFmt w:val="decimal"/>
      <w:lvlText w:val=""/>
      <w:lvlJc w:val="left"/>
    </w:lvl>
    <w:lvl w:ilvl="3" w:tplc="04BAA70C">
      <w:numFmt w:val="decimal"/>
      <w:lvlText w:val=""/>
      <w:lvlJc w:val="left"/>
    </w:lvl>
    <w:lvl w:ilvl="4" w:tplc="E5603C18">
      <w:numFmt w:val="decimal"/>
      <w:lvlText w:val=""/>
      <w:lvlJc w:val="left"/>
    </w:lvl>
    <w:lvl w:ilvl="5" w:tplc="F5E27156">
      <w:numFmt w:val="decimal"/>
      <w:lvlText w:val=""/>
      <w:lvlJc w:val="left"/>
    </w:lvl>
    <w:lvl w:ilvl="6" w:tplc="79DEDEB0">
      <w:numFmt w:val="decimal"/>
      <w:lvlText w:val=""/>
      <w:lvlJc w:val="left"/>
    </w:lvl>
    <w:lvl w:ilvl="7" w:tplc="88DA8C86">
      <w:numFmt w:val="decimal"/>
      <w:lvlText w:val=""/>
      <w:lvlJc w:val="left"/>
    </w:lvl>
    <w:lvl w:ilvl="8" w:tplc="8F7CFCE0">
      <w:numFmt w:val="decimal"/>
      <w:lvlText w:val=""/>
      <w:lvlJc w:val="left"/>
    </w:lvl>
  </w:abstractNum>
  <w:abstractNum w:abstractNumId="18">
    <w:nsid w:val="3CAD667A"/>
    <w:multiLevelType w:val="hybridMultilevel"/>
    <w:tmpl w:val="01A0B95C"/>
    <w:lvl w:ilvl="0" w:tplc="3D32055C">
      <w:start w:val="1"/>
      <w:numFmt w:val="decimal"/>
      <w:lvlText w:val="%1."/>
      <w:lvlJc w:val="left"/>
      <w:pPr>
        <w:ind w:left="1080" w:hanging="360"/>
      </w:pPr>
      <w:rPr>
        <w:rFonts w:eastAsia="Arial"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nsid w:val="3F2DBA31"/>
    <w:multiLevelType w:val="hybridMultilevel"/>
    <w:tmpl w:val="F63264FA"/>
    <w:lvl w:ilvl="0" w:tplc="41002DEE">
      <w:start w:val="1"/>
      <w:numFmt w:val="bullet"/>
      <w:lvlText w:val="-"/>
      <w:lvlJc w:val="left"/>
    </w:lvl>
    <w:lvl w:ilvl="1" w:tplc="495E07C6">
      <w:numFmt w:val="decimal"/>
      <w:lvlText w:val=""/>
      <w:lvlJc w:val="left"/>
    </w:lvl>
    <w:lvl w:ilvl="2" w:tplc="A28EBC5E">
      <w:numFmt w:val="decimal"/>
      <w:lvlText w:val=""/>
      <w:lvlJc w:val="left"/>
    </w:lvl>
    <w:lvl w:ilvl="3" w:tplc="FC48191A">
      <w:numFmt w:val="decimal"/>
      <w:lvlText w:val=""/>
      <w:lvlJc w:val="left"/>
    </w:lvl>
    <w:lvl w:ilvl="4" w:tplc="4798132E">
      <w:numFmt w:val="decimal"/>
      <w:lvlText w:val=""/>
      <w:lvlJc w:val="left"/>
    </w:lvl>
    <w:lvl w:ilvl="5" w:tplc="279ACD50">
      <w:numFmt w:val="decimal"/>
      <w:lvlText w:val=""/>
      <w:lvlJc w:val="left"/>
    </w:lvl>
    <w:lvl w:ilvl="6" w:tplc="F7F293FC">
      <w:numFmt w:val="decimal"/>
      <w:lvlText w:val=""/>
      <w:lvlJc w:val="left"/>
    </w:lvl>
    <w:lvl w:ilvl="7" w:tplc="B2E0B982">
      <w:numFmt w:val="decimal"/>
      <w:lvlText w:val=""/>
      <w:lvlJc w:val="left"/>
    </w:lvl>
    <w:lvl w:ilvl="8" w:tplc="51186E64">
      <w:numFmt w:val="decimal"/>
      <w:lvlText w:val=""/>
      <w:lvlJc w:val="left"/>
    </w:lvl>
  </w:abstractNum>
  <w:abstractNum w:abstractNumId="20">
    <w:nsid w:val="41A7C4C9"/>
    <w:multiLevelType w:val="hybridMultilevel"/>
    <w:tmpl w:val="AA68EAF2"/>
    <w:lvl w:ilvl="0" w:tplc="F684BFDA">
      <w:start w:val="1"/>
      <w:numFmt w:val="decimal"/>
      <w:lvlText w:val="%1)"/>
      <w:lvlJc w:val="left"/>
    </w:lvl>
    <w:lvl w:ilvl="1" w:tplc="8848D8FE">
      <w:start w:val="1"/>
      <w:numFmt w:val="lowerLetter"/>
      <w:lvlText w:val="%2)"/>
      <w:lvlJc w:val="left"/>
    </w:lvl>
    <w:lvl w:ilvl="2" w:tplc="1BA03AE4">
      <w:numFmt w:val="decimal"/>
      <w:lvlText w:val=""/>
      <w:lvlJc w:val="left"/>
    </w:lvl>
    <w:lvl w:ilvl="3" w:tplc="893E7A26">
      <w:numFmt w:val="decimal"/>
      <w:lvlText w:val=""/>
      <w:lvlJc w:val="left"/>
    </w:lvl>
    <w:lvl w:ilvl="4" w:tplc="68FCE330">
      <w:numFmt w:val="decimal"/>
      <w:lvlText w:val=""/>
      <w:lvlJc w:val="left"/>
    </w:lvl>
    <w:lvl w:ilvl="5" w:tplc="48D471AA">
      <w:numFmt w:val="decimal"/>
      <w:lvlText w:val=""/>
      <w:lvlJc w:val="left"/>
    </w:lvl>
    <w:lvl w:ilvl="6" w:tplc="FA949AF0">
      <w:numFmt w:val="decimal"/>
      <w:lvlText w:val=""/>
      <w:lvlJc w:val="left"/>
    </w:lvl>
    <w:lvl w:ilvl="7" w:tplc="6096D8EA">
      <w:numFmt w:val="decimal"/>
      <w:lvlText w:val=""/>
      <w:lvlJc w:val="left"/>
    </w:lvl>
    <w:lvl w:ilvl="8" w:tplc="3B2A0FB4">
      <w:numFmt w:val="decimal"/>
      <w:lvlText w:val=""/>
      <w:lvlJc w:val="left"/>
    </w:lvl>
  </w:abstractNum>
  <w:abstractNum w:abstractNumId="21">
    <w:nsid w:val="431BD7B7"/>
    <w:multiLevelType w:val="hybridMultilevel"/>
    <w:tmpl w:val="C1F424B6"/>
    <w:lvl w:ilvl="0" w:tplc="DC9CF72A">
      <w:start w:val="1"/>
      <w:numFmt w:val="bullet"/>
      <w:lvlText w:val="-"/>
      <w:lvlJc w:val="left"/>
    </w:lvl>
    <w:lvl w:ilvl="1" w:tplc="C94E5042">
      <w:numFmt w:val="decimal"/>
      <w:lvlText w:val=""/>
      <w:lvlJc w:val="left"/>
    </w:lvl>
    <w:lvl w:ilvl="2" w:tplc="702A7002">
      <w:numFmt w:val="decimal"/>
      <w:lvlText w:val=""/>
      <w:lvlJc w:val="left"/>
    </w:lvl>
    <w:lvl w:ilvl="3" w:tplc="6692809C">
      <w:numFmt w:val="decimal"/>
      <w:lvlText w:val=""/>
      <w:lvlJc w:val="left"/>
    </w:lvl>
    <w:lvl w:ilvl="4" w:tplc="832E22A8">
      <w:numFmt w:val="decimal"/>
      <w:lvlText w:val=""/>
      <w:lvlJc w:val="left"/>
    </w:lvl>
    <w:lvl w:ilvl="5" w:tplc="0CCA0144">
      <w:numFmt w:val="decimal"/>
      <w:lvlText w:val=""/>
      <w:lvlJc w:val="left"/>
    </w:lvl>
    <w:lvl w:ilvl="6" w:tplc="C79C60AE">
      <w:numFmt w:val="decimal"/>
      <w:lvlText w:val=""/>
      <w:lvlJc w:val="left"/>
    </w:lvl>
    <w:lvl w:ilvl="7" w:tplc="554A8266">
      <w:numFmt w:val="decimal"/>
      <w:lvlText w:val=""/>
      <w:lvlJc w:val="left"/>
    </w:lvl>
    <w:lvl w:ilvl="8" w:tplc="0C7C72A0">
      <w:numFmt w:val="decimal"/>
      <w:lvlText w:val=""/>
      <w:lvlJc w:val="left"/>
    </w:lvl>
  </w:abstractNum>
  <w:abstractNum w:abstractNumId="22">
    <w:nsid w:val="4353D0CD"/>
    <w:multiLevelType w:val="hybridMultilevel"/>
    <w:tmpl w:val="FC063748"/>
    <w:lvl w:ilvl="0" w:tplc="35FA1802">
      <w:start w:val="1"/>
      <w:numFmt w:val="bullet"/>
      <w:lvlText w:val="\endash "/>
      <w:lvlJc w:val="left"/>
    </w:lvl>
    <w:lvl w:ilvl="1" w:tplc="8E1438F0">
      <w:numFmt w:val="decimal"/>
      <w:lvlText w:val=""/>
      <w:lvlJc w:val="left"/>
    </w:lvl>
    <w:lvl w:ilvl="2" w:tplc="BA5C14AE">
      <w:numFmt w:val="decimal"/>
      <w:lvlText w:val=""/>
      <w:lvlJc w:val="left"/>
    </w:lvl>
    <w:lvl w:ilvl="3" w:tplc="B1D82720">
      <w:numFmt w:val="decimal"/>
      <w:lvlText w:val=""/>
      <w:lvlJc w:val="left"/>
    </w:lvl>
    <w:lvl w:ilvl="4" w:tplc="567670A8">
      <w:numFmt w:val="decimal"/>
      <w:lvlText w:val=""/>
      <w:lvlJc w:val="left"/>
    </w:lvl>
    <w:lvl w:ilvl="5" w:tplc="4106FEF0">
      <w:numFmt w:val="decimal"/>
      <w:lvlText w:val=""/>
      <w:lvlJc w:val="left"/>
    </w:lvl>
    <w:lvl w:ilvl="6" w:tplc="D6F6595C">
      <w:numFmt w:val="decimal"/>
      <w:lvlText w:val=""/>
      <w:lvlJc w:val="left"/>
    </w:lvl>
    <w:lvl w:ilvl="7" w:tplc="9280CEFA">
      <w:numFmt w:val="decimal"/>
      <w:lvlText w:val=""/>
      <w:lvlJc w:val="left"/>
    </w:lvl>
    <w:lvl w:ilvl="8" w:tplc="FF8058B2">
      <w:numFmt w:val="decimal"/>
      <w:lvlText w:val=""/>
      <w:lvlJc w:val="left"/>
    </w:lvl>
  </w:abstractNum>
  <w:abstractNum w:abstractNumId="23">
    <w:nsid w:val="436C6125"/>
    <w:multiLevelType w:val="hybridMultilevel"/>
    <w:tmpl w:val="F7DA0B30"/>
    <w:lvl w:ilvl="0" w:tplc="9134211A">
      <w:start w:val="1"/>
      <w:numFmt w:val="lowerLetter"/>
      <w:lvlText w:val="%1)"/>
      <w:lvlJc w:val="left"/>
    </w:lvl>
    <w:lvl w:ilvl="1" w:tplc="6DEC8CE6">
      <w:numFmt w:val="decimal"/>
      <w:lvlText w:val=""/>
      <w:lvlJc w:val="left"/>
    </w:lvl>
    <w:lvl w:ilvl="2" w:tplc="EB76C652">
      <w:numFmt w:val="decimal"/>
      <w:lvlText w:val=""/>
      <w:lvlJc w:val="left"/>
    </w:lvl>
    <w:lvl w:ilvl="3" w:tplc="C99277B4">
      <w:numFmt w:val="decimal"/>
      <w:lvlText w:val=""/>
      <w:lvlJc w:val="left"/>
    </w:lvl>
    <w:lvl w:ilvl="4" w:tplc="B70E0B6E">
      <w:numFmt w:val="decimal"/>
      <w:lvlText w:val=""/>
      <w:lvlJc w:val="left"/>
    </w:lvl>
    <w:lvl w:ilvl="5" w:tplc="BBE24CA8">
      <w:numFmt w:val="decimal"/>
      <w:lvlText w:val=""/>
      <w:lvlJc w:val="left"/>
    </w:lvl>
    <w:lvl w:ilvl="6" w:tplc="488A6E50">
      <w:numFmt w:val="decimal"/>
      <w:lvlText w:val=""/>
      <w:lvlJc w:val="left"/>
    </w:lvl>
    <w:lvl w:ilvl="7" w:tplc="85907C62">
      <w:numFmt w:val="decimal"/>
      <w:lvlText w:val=""/>
      <w:lvlJc w:val="left"/>
    </w:lvl>
    <w:lvl w:ilvl="8" w:tplc="44EEAC7A">
      <w:numFmt w:val="decimal"/>
      <w:lvlText w:val=""/>
      <w:lvlJc w:val="left"/>
    </w:lvl>
  </w:abstractNum>
  <w:abstractNum w:abstractNumId="24">
    <w:nsid w:val="4E6AFB66"/>
    <w:multiLevelType w:val="hybridMultilevel"/>
    <w:tmpl w:val="79728B14"/>
    <w:lvl w:ilvl="0" w:tplc="E14A8CA0">
      <w:start w:val="3"/>
      <w:numFmt w:val="decimal"/>
      <w:lvlText w:val="%1."/>
      <w:lvlJc w:val="left"/>
    </w:lvl>
    <w:lvl w:ilvl="1" w:tplc="4B96305A">
      <w:numFmt w:val="decimal"/>
      <w:lvlText w:val=""/>
      <w:lvlJc w:val="left"/>
    </w:lvl>
    <w:lvl w:ilvl="2" w:tplc="4F9A331C">
      <w:numFmt w:val="decimal"/>
      <w:lvlText w:val=""/>
      <w:lvlJc w:val="left"/>
    </w:lvl>
    <w:lvl w:ilvl="3" w:tplc="2DAEEAE8">
      <w:numFmt w:val="decimal"/>
      <w:lvlText w:val=""/>
      <w:lvlJc w:val="left"/>
    </w:lvl>
    <w:lvl w:ilvl="4" w:tplc="6DDCEC5A">
      <w:numFmt w:val="decimal"/>
      <w:lvlText w:val=""/>
      <w:lvlJc w:val="left"/>
    </w:lvl>
    <w:lvl w:ilvl="5" w:tplc="CA304FE4">
      <w:numFmt w:val="decimal"/>
      <w:lvlText w:val=""/>
      <w:lvlJc w:val="left"/>
    </w:lvl>
    <w:lvl w:ilvl="6" w:tplc="3C0029FE">
      <w:numFmt w:val="decimal"/>
      <w:lvlText w:val=""/>
      <w:lvlJc w:val="left"/>
    </w:lvl>
    <w:lvl w:ilvl="7" w:tplc="4EB4A31A">
      <w:numFmt w:val="decimal"/>
      <w:lvlText w:val=""/>
      <w:lvlJc w:val="left"/>
    </w:lvl>
    <w:lvl w:ilvl="8" w:tplc="A8880B64">
      <w:numFmt w:val="decimal"/>
      <w:lvlText w:val=""/>
      <w:lvlJc w:val="left"/>
    </w:lvl>
  </w:abstractNum>
  <w:abstractNum w:abstractNumId="25">
    <w:nsid w:val="519B500D"/>
    <w:multiLevelType w:val="hybridMultilevel"/>
    <w:tmpl w:val="F51E1BDC"/>
    <w:lvl w:ilvl="0" w:tplc="31200B3E">
      <w:start w:val="5"/>
      <w:numFmt w:val="decimal"/>
      <w:lvlText w:val="%1."/>
      <w:lvlJc w:val="left"/>
    </w:lvl>
    <w:lvl w:ilvl="1" w:tplc="ACC82A48">
      <w:numFmt w:val="decimal"/>
      <w:lvlText w:val=""/>
      <w:lvlJc w:val="left"/>
    </w:lvl>
    <w:lvl w:ilvl="2" w:tplc="54C224CE">
      <w:numFmt w:val="decimal"/>
      <w:lvlText w:val=""/>
      <w:lvlJc w:val="left"/>
    </w:lvl>
    <w:lvl w:ilvl="3" w:tplc="737030F2">
      <w:numFmt w:val="decimal"/>
      <w:lvlText w:val=""/>
      <w:lvlJc w:val="left"/>
    </w:lvl>
    <w:lvl w:ilvl="4" w:tplc="05B655E4">
      <w:numFmt w:val="decimal"/>
      <w:lvlText w:val=""/>
      <w:lvlJc w:val="left"/>
    </w:lvl>
    <w:lvl w:ilvl="5" w:tplc="7C90280A">
      <w:numFmt w:val="decimal"/>
      <w:lvlText w:val=""/>
      <w:lvlJc w:val="left"/>
    </w:lvl>
    <w:lvl w:ilvl="6" w:tplc="8C1C7630">
      <w:numFmt w:val="decimal"/>
      <w:lvlText w:val=""/>
      <w:lvlJc w:val="left"/>
    </w:lvl>
    <w:lvl w:ilvl="7" w:tplc="8CE00CE2">
      <w:numFmt w:val="decimal"/>
      <w:lvlText w:val=""/>
      <w:lvlJc w:val="left"/>
    </w:lvl>
    <w:lvl w:ilvl="8" w:tplc="9AA8A412">
      <w:numFmt w:val="decimal"/>
      <w:lvlText w:val=""/>
      <w:lvlJc w:val="left"/>
    </w:lvl>
  </w:abstractNum>
  <w:abstractNum w:abstractNumId="26">
    <w:nsid w:val="54E49EB4"/>
    <w:multiLevelType w:val="hybridMultilevel"/>
    <w:tmpl w:val="3E408434"/>
    <w:lvl w:ilvl="0" w:tplc="41C80DDE">
      <w:start w:val="9"/>
      <w:numFmt w:val="decimal"/>
      <w:lvlText w:val="%1."/>
      <w:lvlJc w:val="left"/>
    </w:lvl>
    <w:lvl w:ilvl="1" w:tplc="38F2F842">
      <w:numFmt w:val="decimal"/>
      <w:lvlText w:val=""/>
      <w:lvlJc w:val="left"/>
    </w:lvl>
    <w:lvl w:ilvl="2" w:tplc="A282FB72">
      <w:numFmt w:val="decimal"/>
      <w:lvlText w:val=""/>
      <w:lvlJc w:val="left"/>
    </w:lvl>
    <w:lvl w:ilvl="3" w:tplc="F0D6C022">
      <w:numFmt w:val="decimal"/>
      <w:lvlText w:val=""/>
      <w:lvlJc w:val="left"/>
    </w:lvl>
    <w:lvl w:ilvl="4" w:tplc="67A458E6">
      <w:numFmt w:val="decimal"/>
      <w:lvlText w:val=""/>
      <w:lvlJc w:val="left"/>
    </w:lvl>
    <w:lvl w:ilvl="5" w:tplc="E5C07FD4">
      <w:numFmt w:val="decimal"/>
      <w:lvlText w:val=""/>
      <w:lvlJc w:val="left"/>
    </w:lvl>
    <w:lvl w:ilvl="6" w:tplc="8BDE3130">
      <w:numFmt w:val="decimal"/>
      <w:lvlText w:val=""/>
      <w:lvlJc w:val="left"/>
    </w:lvl>
    <w:lvl w:ilvl="7" w:tplc="87A8CA98">
      <w:numFmt w:val="decimal"/>
      <w:lvlText w:val=""/>
      <w:lvlJc w:val="left"/>
    </w:lvl>
    <w:lvl w:ilvl="8" w:tplc="A5CCF294">
      <w:numFmt w:val="decimal"/>
      <w:lvlText w:val=""/>
      <w:lvlJc w:val="left"/>
    </w:lvl>
  </w:abstractNum>
  <w:abstractNum w:abstractNumId="27">
    <w:nsid w:val="628C895D"/>
    <w:multiLevelType w:val="hybridMultilevel"/>
    <w:tmpl w:val="378C4622"/>
    <w:lvl w:ilvl="0" w:tplc="D6481088">
      <w:start w:val="3"/>
      <w:numFmt w:val="lowerLetter"/>
      <w:lvlText w:val="%1)"/>
      <w:lvlJc w:val="left"/>
    </w:lvl>
    <w:lvl w:ilvl="1" w:tplc="AA5C36B0">
      <w:numFmt w:val="decimal"/>
      <w:lvlText w:val=""/>
      <w:lvlJc w:val="left"/>
    </w:lvl>
    <w:lvl w:ilvl="2" w:tplc="64C453EE">
      <w:numFmt w:val="decimal"/>
      <w:lvlText w:val=""/>
      <w:lvlJc w:val="left"/>
    </w:lvl>
    <w:lvl w:ilvl="3" w:tplc="4F04CEFC">
      <w:numFmt w:val="decimal"/>
      <w:lvlText w:val=""/>
      <w:lvlJc w:val="left"/>
    </w:lvl>
    <w:lvl w:ilvl="4" w:tplc="3E2461A0">
      <w:numFmt w:val="decimal"/>
      <w:lvlText w:val=""/>
      <w:lvlJc w:val="left"/>
    </w:lvl>
    <w:lvl w:ilvl="5" w:tplc="9FF4055A">
      <w:numFmt w:val="decimal"/>
      <w:lvlText w:val=""/>
      <w:lvlJc w:val="left"/>
    </w:lvl>
    <w:lvl w:ilvl="6" w:tplc="CC427BE0">
      <w:numFmt w:val="decimal"/>
      <w:lvlText w:val=""/>
      <w:lvlJc w:val="left"/>
    </w:lvl>
    <w:lvl w:ilvl="7" w:tplc="D1786A88">
      <w:numFmt w:val="decimal"/>
      <w:lvlText w:val=""/>
      <w:lvlJc w:val="left"/>
    </w:lvl>
    <w:lvl w:ilvl="8" w:tplc="822C69A6">
      <w:numFmt w:val="decimal"/>
      <w:lvlText w:val=""/>
      <w:lvlJc w:val="left"/>
    </w:lvl>
  </w:abstractNum>
  <w:abstractNum w:abstractNumId="28">
    <w:nsid w:val="62BBD95A"/>
    <w:multiLevelType w:val="hybridMultilevel"/>
    <w:tmpl w:val="331C1D84"/>
    <w:lvl w:ilvl="0" w:tplc="A7D07CA2">
      <w:start w:val="1"/>
      <w:numFmt w:val="decimal"/>
      <w:lvlText w:val="%1."/>
      <w:lvlJc w:val="left"/>
    </w:lvl>
    <w:lvl w:ilvl="1" w:tplc="F2184194">
      <w:numFmt w:val="decimal"/>
      <w:lvlText w:val=""/>
      <w:lvlJc w:val="left"/>
    </w:lvl>
    <w:lvl w:ilvl="2" w:tplc="5E2E9E18">
      <w:numFmt w:val="decimal"/>
      <w:lvlText w:val=""/>
      <w:lvlJc w:val="left"/>
    </w:lvl>
    <w:lvl w:ilvl="3" w:tplc="7FB83270">
      <w:numFmt w:val="decimal"/>
      <w:lvlText w:val=""/>
      <w:lvlJc w:val="left"/>
    </w:lvl>
    <w:lvl w:ilvl="4" w:tplc="483EC55A">
      <w:numFmt w:val="decimal"/>
      <w:lvlText w:val=""/>
      <w:lvlJc w:val="left"/>
    </w:lvl>
    <w:lvl w:ilvl="5" w:tplc="AC14307E">
      <w:numFmt w:val="decimal"/>
      <w:lvlText w:val=""/>
      <w:lvlJc w:val="left"/>
    </w:lvl>
    <w:lvl w:ilvl="6" w:tplc="E17047F8">
      <w:numFmt w:val="decimal"/>
      <w:lvlText w:val=""/>
      <w:lvlJc w:val="left"/>
    </w:lvl>
    <w:lvl w:ilvl="7" w:tplc="49D0215C">
      <w:numFmt w:val="decimal"/>
      <w:lvlText w:val=""/>
      <w:lvlJc w:val="left"/>
    </w:lvl>
    <w:lvl w:ilvl="8" w:tplc="2BD84852">
      <w:numFmt w:val="decimal"/>
      <w:lvlText w:val=""/>
      <w:lvlJc w:val="left"/>
    </w:lvl>
  </w:abstractNum>
  <w:abstractNum w:abstractNumId="29">
    <w:nsid w:val="6763845E"/>
    <w:multiLevelType w:val="hybridMultilevel"/>
    <w:tmpl w:val="F9582C70"/>
    <w:lvl w:ilvl="0" w:tplc="40EAE0CA">
      <w:start w:val="9"/>
      <w:numFmt w:val="decimal"/>
      <w:lvlText w:val="%1."/>
      <w:lvlJc w:val="left"/>
    </w:lvl>
    <w:lvl w:ilvl="1" w:tplc="5346F4D4">
      <w:numFmt w:val="decimal"/>
      <w:lvlText w:val=""/>
      <w:lvlJc w:val="left"/>
    </w:lvl>
    <w:lvl w:ilvl="2" w:tplc="18BC617E">
      <w:numFmt w:val="decimal"/>
      <w:lvlText w:val=""/>
      <w:lvlJc w:val="left"/>
    </w:lvl>
    <w:lvl w:ilvl="3" w:tplc="93BC20F6">
      <w:numFmt w:val="decimal"/>
      <w:lvlText w:val=""/>
      <w:lvlJc w:val="left"/>
    </w:lvl>
    <w:lvl w:ilvl="4" w:tplc="D2E653BC">
      <w:numFmt w:val="decimal"/>
      <w:lvlText w:val=""/>
      <w:lvlJc w:val="left"/>
    </w:lvl>
    <w:lvl w:ilvl="5" w:tplc="C1F66ABE">
      <w:numFmt w:val="decimal"/>
      <w:lvlText w:val=""/>
      <w:lvlJc w:val="left"/>
    </w:lvl>
    <w:lvl w:ilvl="6" w:tplc="686C73E6">
      <w:numFmt w:val="decimal"/>
      <w:lvlText w:val=""/>
      <w:lvlJc w:val="left"/>
    </w:lvl>
    <w:lvl w:ilvl="7" w:tplc="B274B7D6">
      <w:numFmt w:val="decimal"/>
      <w:lvlText w:val=""/>
      <w:lvlJc w:val="left"/>
    </w:lvl>
    <w:lvl w:ilvl="8" w:tplc="33941C60">
      <w:numFmt w:val="decimal"/>
      <w:lvlText w:val=""/>
      <w:lvlJc w:val="left"/>
    </w:lvl>
  </w:abstractNum>
  <w:abstractNum w:abstractNumId="30">
    <w:nsid w:val="6B68079A"/>
    <w:multiLevelType w:val="hybridMultilevel"/>
    <w:tmpl w:val="A880E250"/>
    <w:lvl w:ilvl="0" w:tplc="9DAC3D9C">
      <w:start w:val="2"/>
      <w:numFmt w:val="decimal"/>
      <w:lvlText w:val="%1."/>
      <w:lvlJc w:val="left"/>
    </w:lvl>
    <w:lvl w:ilvl="1" w:tplc="13D670C4">
      <w:numFmt w:val="decimal"/>
      <w:lvlText w:val=""/>
      <w:lvlJc w:val="left"/>
    </w:lvl>
    <w:lvl w:ilvl="2" w:tplc="A8AA2580">
      <w:numFmt w:val="decimal"/>
      <w:lvlText w:val=""/>
      <w:lvlJc w:val="left"/>
    </w:lvl>
    <w:lvl w:ilvl="3" w:tplc="00CAB6C8">
      <w:numFmt w:val="decimal"/>
      <w:lvlText w:val=""/>
      <w:lvlJc w:val="left"/>
    </w:lvl>
    <w:lvl w:ilvl="4" w:tplc="B4746D72">
      <w:numFmt w:val="decimal"/>
      <w:lvlText w:val=""/>
      <w:lvlJc w:val="left"/>
    </w:lvl>
    <w:lvl w:ilvl="5" w:tplc="39CC9218">
      <w:numFmt w:val="decimal"/>
      <w:lvlText w:val=""/>
      <w:lvlJc w:val="left"/>
    </w:lvl>
    <w:lvl w:ilvl="6" w:tplc="299ED896">
      <w:numFmt w:val="decimal"/>
      <w:lvlText w:val=""/>
      <w:lvlJc w:val="left"/>
    </w:lvl>
    <w:lvl w:ilvl="7" w:tplc="A5D2D6BA">
      <w:numFmt w:val="decimal"/>
      <w:lvlText w:val=""/>
      <w:lvlJc w:val="left"/>
    </w:lvl>
    <w:lvl w:ilvl="8" w:tplc="5B0085D4">
      <w:numFmt w:val="decimal"/>
      <w:lvlText w:val=""/>
      <w:lvlJc w:val="left"/>
    </w:lvl>
  </w:abstractNum>
  <w:abstractNum w:abstractNumId="31">
    <w:nsid w:val="71F32454"/>
    <w:multiLevelType w:val="hybridMultilevel"/>
    <w:tmpl w:val="A3AC9926"/>
    <w:lvl w:ilvl="0" w:tplc="EDD0E4D2">
      <w:start w:val="1"/>
      <w:numFmt w:val="bullet"/>
      <w:lvlText w:val="\endash "/>
      <w:lvlJc w:val="left"/>
    </w:lvl>
    <w:lvl w:ilvl="1" w:tplc="D04A2C7E">
      <w:numFmt w:val="decimal"/>
      <w:lvlText w:val=""/>
      <w:lvlJc w:val="left"/>
    </w:lvl>
    <w:lvl w:ilvl="2" w:tplc="3480692C">
      <w:numFmt w:val="decimal"/>
      <w:lvlText w:val=""/>
      <w:lvlJc w:val="left"/>
    </w:lvl>
    <w:lvl w:ilvl="3" w:tplc="2C86652E">
      <w:numFmt w:val="decimal"/>
      <w:lvlText w:val=""/>
      <w:lvlJc w:val="left"/>
    </w:lvl>
    <w:lvl w:ilvl="4" w:tplc="0824C8D4">
      <w:numFmt w:val="decimal"/>
      <w:lvlText w:val=""/>
      <w:lvlJc w:val="left"/>
    </w:lvl>
    <w:lvl w:ilvl="5" w:tplc="F286C108">
      <w:numFmt w:val="decimal"/>
      <w:lvlText w:val=""/>
      <w:lvlJc w:val="left"/>
    </w:lvl>
    <w:lvl w:ilvl="6" w:tplc="EAFEAA12">
      <w:numFmt w:val="decimal"/>
      <w:lvlText w:val=""/>
      <w:lvlJc w:val="left"/>
    </w:lvl>
    <w:lvl w:ilvl="7" w:tplc="E050DCBA">
      <w:numFmt w:val="decimal"/>
      <w:lvlText w:val=""/>
      <w:lvlJc w:val="left"/>
    </w:lvl>
    <w:lvl w:ilvl="8" w:tplc="7DF6B3B2">
      <w:numFmt w:val="decimal"/>
      <w:lvlText w:val=""/>
      <w:lvlJc w:val="left"/>
    </w:lvl>
  </w:abstractNum>
  <w:abstractNum w:abstractNumId="32">
    <w:nsid w:val="721DA317"/>
    <w:multiLevelType w:val="hybridMultilevel"/>
    <w:tmpl w:val="8D6497DE"/>
    <w:lvl w:ilvl="0" w:tplc="9AC61524">
      <w:start w:val="8"/>
      <w:numFmt w:val="decimal"/>
      <w:lvlText w:val="%1."/>
      <w:lvlJc w:val="left"/>
    </w:lvl>
    <w:lvl w:ilvl="1" w:tplc="7DBC0094">
      <w:numFmt w:val="decimal"/>
      <w:lvlText w:val=""/>
      <w:lvlJc w:val="left"/>
    </w:lvl>
    <w:lvl w:ilvl="2" w:tplc="7458E1AE">
      <w:numFmt w:val="decimal"/>
      <w:lvlText w:val=""/>
      <w:lvlJc w:val="left"/>
    </w:lvl>
    <w:lvl w:ilvl="3" w:tplc="4AD05BF4">
      <w:numFmt w:val="decimal"/>
      <w:lvlText w:val=""/>
      <w:lvlJc w:val="left"/>
    </w:lvl>
    <w:lvl w:ilvl="4" w:tplc="08B8DEB6">
      <w:numFmt w:val="decimal"/>
      <w:lvlText w:val=""/>
      <w:lvlJc w:val="left"/>
    </w:lvl>
    <w:lvl w:ilvl="5" w:tplc="88EC68EA">
      <w:numFmt w:val="decimal"/>
      <w:lvlText w:val=""/>
      <w:lvlJc w:val="left"/>
    </w:lvl>
    <w:lvl w:ilvl="6" w:tplc="504A872C">
      <w:numFmt w:val="decimal"/>
      <w:lvlText w:val=""/>
      <w:lvlJc w:val="left"/>
    </w:lvl>
    <w:lvl w:ilvl="7" w:tplc="2A64BA2C">
      <w:numFmt w:val="decimal"/>
      <w:lvlText w:val=""/>
      <w:lvlJc w:val="left"/>
    </w:lvl>
    <w:lvl w:ilvl="8" w:tplc="9886B358">
      <w:numFmt w:val="decimal"/>
      <w:lvlText w:val=""/>
      <w:lvlJc w:val="left"/>
    </w:lvl>
  </w:abstractNum>
  <w:abstractNum w:abstractNumId="33">
    <w:nsid w:val="75A2A8D4"/>
    <w:multiLevelType w:val="hybridMultilevel"/>
    <w:tmpl w:val="D90C4CC2"/>
    <w:lvl w:ilvl="0" w:tplc="0C4292FC">
      <w:start w:val="1"/>
      <w:numFmt w:val="bullet"/>
      <w:lvlText w:val="•"/>
      <w:lvlJc w:val="left"/>
    </w:lvl>
    <w:lvl w:ilvl="1" w:tplc="47562060">
      <w:numFmt w:val="decimal"/>
      <w:lvlText w:val=""/>
      <w:lvlJc w:val="left"/>
    </w:lvl>
    <w:lvl w:ilvl="2" w:tplc="4B4E8770">
      <w:numFmt w:val="decimal"/>
      <w:lvlText w:val=""/>
      <w:lvlJc w:val="left"/>
    </w:lvl>
    <w:lvl w:ilvl="3" w:tplc="54743CB0">
      <w:numFmt w:val="decimal"/>
      <w:lvlText w:val=""/>
      <w:lvlJc w:val="left"/>
    </w:lvl>
    <w:lvl w:ilvl="4" w:tplc="B242072E">
      <w:numFmt w:val="decimal"/>
      <w:lvlText w:val=""/>
      <w:lvlJc w:val="left"/>
    </w:lvl>
    <w:lvl w:ilvl="5" w:tplc="E5BE5158">
      <w:numFmt w:val="decimal"/>
      <w:lvlText w:val=""/>
      <w:lvlJc w:val="left"/>
    </w:lvl>
    <w:lvl w:ilvl="6" w:tplc="32AC7078">
      <w:numFmt w:val="decimal"/>
      <w:lvlText w:val=""/>
      <w:lvlJc w:val="left"/>
    </w:lvl>
    <w:lvl w:ilvl="7" w:tplc="17187A48">
      <w:numFmt w:val="decimal"/>
      <w:lvlText w:val=""/>
      <w:lvlJc w:val="left"/>
    </w:lvl>
    <w:lvl w:ilvl="8" w:tplc="A88C741A">
      <w:numFmt w:val="decimal"/>
      <w:lvlText w:val=""/>
      <w:lvlJc w:val="left"/>
    </w:lvl>
  </w:abstractNum>
  <w:abstractNum w:abstractNumId="34">
    <w:nsid w:val="79838CB2"/>
    <w:multiLevelType w:val="hybridMultilevel"/>
    <w:tmpl w:val="A7AC075E"/>
    <w:lvl w:ilvl="0" w:tplc="FC3652D6">
      <w:start w:val="1"/>
      <w:numFmt w:val="bullet"/>
      <w:lvlText w:val="\endash "/>
      <w:lvlJc w:val="left"/>
    </w:lvl>
    <w:lvl w:ilvl="1" w:tplc="2B1E6284">
      <w:numFmt w:val="decimal"/>
      <w:lvlText w:val=""/>
      <w:lvlJc w:val="left"/>
    </w:lvl>
    <w:lvl w:ilvl="2" w:tplc="B9EAE1E4">
      <w:numFmt w:val="decimal"/>
      <w:lvlText w:val=""/>
      <w:lvlJc w:val="left"/>
    </w:lvl>
    <w:lvl w:ilvl="3" w:tplc="86389EBA">
      <w:numFmt w:val="decimal"/>
      <w:lvlText w:val=""/>
      <w:lvlJc w:val="left"/>
    </w:lvl>
    <w:lvl w:ilvl="4" w:tplc="F73A23E8">
      <w:numFmt w:val="decimal"/>
      <w:lvlText w:val=""/>
      <w:lvlJc w:val="left"/>
    </w:lvl>
    <w:lvl w:ilvl="5" w:tplc="D42AF4C8">
      <w:numFmt w:val="decimal"/>
      <w:lvlText w:val=""/>
      <w:lvlJc w:val="left"/>
    </w:lvl>
    <w:lvl w:ilvl="6" w:tplc="1D92BF90">
      <w:numFmt w:val="decimal"/>
      <w:lvlText w:val=""/>
      <w:lvlJc w:val="left"/>
    </w:lvl>
    <w:lvl w:ilvl="7" w:tplc="A26807EA">
      <w:numFmt w:val="decimal"/>
      <w:lvlText w:val=""/>
      <w:lvlJc w:val="left"/>
    </w:lvl>
    <w:lvl w:ilvl="8" w:tplc="F8AA5DEE">
      <w:numFmt w:val="decimal"/>
      <w:lvlText w:val=""/>
      <w:lvlJc w:val="left"/>
    </w:lvl>
  </w:abstractNum>
  <w:abstractNum w:abstractNumId="35">
    <w:nsid w:val="7C83E458"/>
    <w:multiLevelType w:val="hybridMultilevel"/>
    <w:tmpl w:val="8A1A845A"/>
    <w:lvl w:ilvl="0" w:tplc="D6DC5C1C">
      <w:start w:val="6"/>
      <w:numFmt w:val="decimal"/>
      <w:lvlText w:val="%1."/>
      <w:lvlJc w:val="left"/>
    </w:lvl>
    <w:lvl w:ilvl="1" w:tplc="FC060752">
      <w:numFmt w:val="decimal"/>
      <w:lvlText w:val=""/>
      <w:lvlJc w:val="left"/>
    </w:lvl>
    <w:lvl w:ilvl="2" w:tplc="13620B22">
      <w:numFmt w:val="decimal"/>
      <w:lvlText w:val=""/>
      <w:lvlJc w:val="left"/>
    </w:lvl>
    <w:lvl w:ilvl="3" w:tplc="64962DEE">
      <w:numFmt w:val="decimal"/>
      <w:lvlText w:val=""/>
      <w:lvlJc w:val="left"/>
    </w:lvl>
    <w:lvl w:ilvl="4" w:tplc="871A869E">
      <w:numFmt w:val="decimal"/>
      <w:lvlText w:val=""/>
      <w:lvlJc w:val="left"/>
    </w:lvl>
    <w:lvl w:ilvl="5" w:tplc="C70EF7AC">
      <w:numFmt w:val="decimal"/>
      <w:lvlText w:val=""/>
      <w:lvlJc w:val="left"/>
    </w:lvl>
    <w:lvl w:ilvl="6" w:tplc="1C3C704C">
      <w:numFmt w:val="decimal"/>
      <w:lvlText w:val=""/>
      <w:lvlJc w:val="left"/>
    </w:lvl>
    <w:lvl w:ilvl="7" w:tplc="6FCE992A">
      <w:numFmt w:val="decimal"/>
      <w:lvlText w:val=""/>
      <w:lvlJc w:val="left"/>
    </w:lvl>
    <w:lvl w:ilvl="8" w:tplc="5D7E2ED4">
      <w:numFmt w:val="decimal"/>
      <w:lvlText w:val=""/>
      <w:lvlJc w:val="left"/>
    </w:lvl>
  </w:abstractNum>
  <w:abstractNum w:abstractNumId="36">
    <w:nsid w:val="7FDCC233"/>
    <w:multiLevelType w:val="hybridMultilevel"/>
    <w:tmpl w:val="C1847AD6"/>
    <w:lvl w:ilvl="0" w:tplc="BFDC11E8">
      <w:start w:val="1"/>
      <w:numFmt w:val="bullet"/>
      <w:lvlText w:val="-"/>
      <w:lvlJc w:val="left"/>
    </w:lvl>
    <w:lvl w:ilvl="1" w:tplc="627A5E84">
      <w:numFmt w:val="decimal"/>
      <w:lvlText w:val=""/>
      <w:lvlJc w:val="left"/>
    </w:lvl>
    <w:lvl w:ilvl="2" w:tplc="7902D3A2">
      <w:numFmt w:val="decimal"/>
      <w:lvlText w:val=""/>
      <w:lvlJc w:val="left"/>
    </w:lvl>
    <w:lvl w:ilvl="3" w:tplc="8990DE82">
      <w:numFmt w:val="decimal"/>
      <w:lvlText w:val=""/>
      <w:lvlJc w:val="left"/>
    </w:lvl>
    <w:lvl w:ilvl="4" w:tplc="CD585A4E">
      <w:numFmt w:val="decimal"/>
      <w:lvlText w:val=""/>
      <w:lvlJc w:val="left"/>
    </w:lvl>
    <w:lvl w:ilvl="5" w:tplc="CE902A20">
      <w:numFmt w:val="decimal"/>
      <w:lvlText w:val=""/>
      <w:lvlJc w:val="left"/>
    </w:lvl>
    <w:lvl w:ilvl="6" w:tplc="78FE41BA">
      <w:numFmt w:val="decimal"/>
      <w:lvlText w:val=""/>
      <w:lvlJc w:val="left"/>
    </w:lvl>
    <w:lvl w:ilvl="7" w:tplc="0C2EB950">
      <w:numFmt w:val="decimal"/>
      <w:lvlText w:val=""/>
      <w:lvlJc w:val="left"/>
    </w:lvl>
    <w:lvl w:ilvl="8" w:tplc="A2BC928E">
      <w:numFmt w:val="decimal"/>
      <w:lvlText w:val=""/>
      <w:lvlJc w:val="left"/>
    </w:lvl>
  </w:abstractNum>
  <w:num w:numId="1">
    <w:abstractNumId w:val="6"/>
  </w:num>
  <w:num w:numId="2">
    <w:abstractNumId w:val="5"/>
  </w:num>
  <w:num w:numId="3">
    <w:abstractNumId w:val="36"/>
  </w:num>
  <w:num w:numId="4">
    <w:abstractNumId w:val="8"/>
  </w:num>
  <w:num w:numId="5">
    <w:abstractNumId w:val="20"/>
  </w:num>
  <w:num w:numId="6">
    <w:abstractNumId w:val="30"/>
  </w:num>
  <w:num w:numId="7">
    <w:abstractNumId w:val="24"/>
  </w:num>
  <w:num w:numId="8">
    <w:abstractNumId w:val="11"/>
  </w:num>
  <w:num w:numId="9">
    <w:abstractNumId w:val="25"/>
  </w:num>
  <w:num w:numId="10">
    <w:abstractNumId w:val="21"/>
  </w:num>
  <w:num w:numId="11">
    <w:abstractNumId w:val="19"/>
  </w:num>
  <w:num w:numId="12">
    <w:abstractNumId w:val="35"/>
  </w:num>
  <w:num w:numId="13">
    <w:abstractNumId w:val="10"/>
  </w:num>
  <w:num w:numId="14">
    <w:abstractNumId w:val="28"/>
  </w:num>
  <w:num w:numId="15">
    <w:abstractNumId w:val="23"/>
  </w:num>
  <w:num w:numId="16">
    <w:abstractNumId w:val="27"/>
  </w:num>
  <w:num w:numId="17">
    <w:abstractNumId w:val="16"/>
  </w:num>
  <w:num w:numId="18">
    <w:abstractNumId w:val="32"/>
  </w:num>
  <w:num w:numId="19">
    <w:abstractNumId w:val="9"/>
  </w:num>
  <w:num w:numId="20">
    <w:abstractNumId w:val="14"/>
  </w:num>
  <w:num w:numId="21">
    <w:abstractNumId w:val="29"/>
  </w:num>
  <w:num w:numId="22">
    <w:abstractNumId w:val="33"/>
  </w:num>
  <w:num w:numId="23">
    <w:abstractNumId w:val="3"/>
  </w:num>
  <w:num w:numId="24">
    <w:abstractNumId w:val="34"/>
  </w:num>
  <w:num w:numId="25">
    <w:abstractNumId w:val="22"/>
  </w:num>
  <w:num w:numId="26">
    <w:abstractNumId w:val="4"/>
  </w:num>
  <w:num w:numId="27">
    <w:abstractNumId w:val="12"/>
  </w:num>
  <w:num w:numId="28">
    <w:abstractNumId w:val="7"/>
  </w:num>
  <w:num w:numId="29">
    <w:abstractNumId w:val="26"/>
  </w:num>
  <w:num w:numId="30">
    <w:abstractNumId w:val="31"/>
  </w:num>
  <w:num w:numId="31">
    <w:abstractNumId w:val="13"/>
  </w:num>
  <w:num w:numId="32">
    <w:abstractNumId w:val="2"/>
  </w:num>
  <w:num w:numId="33">
    <w:abstractNumId w:val="0"/>
  </w:num>
  <w:num w:numId="34">
    <w:abstractNumId w:val="17"/>
  </w:num>
  <w:num w:numId="35">
    <w:abstractNumId w:val="1"/>
  </w:num>
  <w:num w:numId="36">
    <w:abstractNumId w:val="15"/>
  </w:num>
  <w:num w:numId="37">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hyphenationZone w:val="425"/>
  <w:characterSpacingControl w:val="doNotCompress"/>
  <w:hdrShapeDefaults>
    <o:shapedefaults v:ext="edit" spidmax="17410"/>
  </w:hdrShapeDefaults>
  <w:footnotePr>
    <w:footnote w:id="-1"/>
    <w:footnote w:id="0"/>
  </w:footnotePr>
  <w:endnotePr>
    <w:endnote w:id="-1"/>
    <w:endnote w:id="0"/>
  </w:endnotePr>
  <w:compat>
    <w:useFELayout/>
  </w:compat>
  <w:rsids>
    <w:rsidRoot w:val="006A3BCD"/>
    <w:rsid w:val="00027244"/>
    <w:rsid w:val="00034C5B"/>
    <w:rsid w:val="0006461F"/>
    <w:rsid w:val="000B76D8"/>
    <w:rsid w:val="000D6E8E"/>
    <w:rsid w:val="001F7DAE"/>
    <w:rsid w:val="00240962"/>
    <w:rsid w:val="00287DCC"/>
    <w:rsid w:val="002A1305"/>
    <w:rsid w:val="002A719B"/>
    <w:rsid w:val="002E7CAC"/>
    <w:rsid w:val="002E7E41"/>
    <w:rsid w:val="00362E54"/>
    <w:rsid w:val="0037609B"/>
    <w:rsid w:val="003A70A7"/>
    <w:rsid w:val="003E27C7"/>
    <w:rsid w:val="003F25AD"/>
    <w:rsid w:val="00415171"/>
    <w:rsid w:val="00432BA9"/>
    <w:rsid w:val="004A1939"/>
    <w:rsid w:val="00505061"/>
    <w:rsid w:val="005072FE"/>
    <w:rsid w:val="005457E1"/>
    <w:rsid w:val="005A4898"/>
    <w:rsid w:val="006202D5"/>
    <w:rsid w:val="00662A06"/>
    <w:rsid w:val="00685165"/>
    <w:rsid w:val="006A3BCD"/>
    <w:rsid w:val="006A4143"/>
    <w:rsid w:val="00727DFA"/>
    <w:rsid w:val="007C2DE4"/>
    <w:rsid w:val="008730B8"/>
    <w:rsid w:val="008F2C5F"/>
    <w:rsid w:val="009010B0"/>
    <w:rsid w:val="00915EBC"/>
    <w:rsid w:val="009545D2"/>
    <w:rsid w:val="009D1B49"/>
    <w:rsid w:val="00A2116E"/>
    <w:rsid w:val="00A44551"/>
    <w:rsid w:val="00A915D3"/>
    <w:rsid w:val="00B25862"/>
    <w:rsid w:val="00B306D9"/>
    <w:rsid w:val="00B42197"/>
    <w:rsid w:val="00B47E70"/>
    <w:rsid w:val="00BA7E67"/>
    <w:rsid w:val="00BB0AF1"/>
    <w:rsid w:val="00C870D2"/>
    <w:rsid w:val="00CC089A"/>
    <w:rsid w:val="00DE4566"/>
    <w:rsid w:val="00E13245"/>
    <w:rsid w:val="00FE0E65"/>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2"/>
        <w:szCs w:val="22"/>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15EBC"/>
    <w:pPr>
      <w:spacing w:before="120"/>
      <w:ind w:firstLine="284"/>
    </w:pPr>
    <w:rPr>
      <w:rFonts w:asciiTheme="minorHAnsi" w:hAnsiTheme="minorHAnsi"/>
      <w:sz w:val="20"/>
    </w:rPr>
  </w:style>
  <w:style w:type="paragraph" w:styleId="Nagwek1">
    <w:name w:val="heading 1"/>
    <w:basedOn w:val="Normalny"/>
    <w:next w:val="Normalny"/>
    <w:link w:val="Nagwek1Znak"/>
    <w:autoRedefine/>
    <w:uiPriority w:val="9"/>
    <w:qFormat/>
    <w:rsid w:val="000D6E8E"/>
    <w:pPr>
      <w:keepNext/>
      <w:keepLines/>
      <w:numPr>
        <w:numId w:val="27"/>
      </w:numPr>
      <w:spacing w:before="480"/>
      <w:outlineLvl w:val="0"/>
    </w:pPr>
    <w:rPr>
      <w:rFonts w:eastAsia="Arial" w:cstheme="majorBidi"/>
      <w:b/>
      <w:bCs/>
      <w:sz w:val="24"/>
      <w:szCs w:val="28"/>
    </w:rPr>
  </w:style>
  <w:style w:type="paragraph" w:styleId="Nagwek2">
    <w:name w:val="heading 2"/>
    <w:basedOn w:val="Normalny"/>
    <w:next w:val="Normalny"/>
    <w:link w:val="Nagwek2Znak"/>
    <w:uiPriority w:val="9"/>
    <w:unhideWhenUsed/>
    <w:qFormat/>
    <w:rsid w:val="00A915D3"/>
    <w:pPr>
      <w:keepNext/>
      <w:keepLines/>
      <w:spacing w:before="200"/>
      <w:outlineLvl w:val="1"/>
    </w:pPr>
    <w:rPr>
      <w:rFonts w:eastAsiaTheme="majorEastAsia" w:cstheme="majorBidi"/>
      <w:bCs/>
      <w:sz w:val="22"/>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0D6E8E"/>
    <w:rPr>
      <w:rFonts w:asciiTheme="minorHAnsi" w:eastAsia="Arial" w:hAnsiTheme="minorHAnsi" w:cstheme="majorBidi"/>
      <w:b/>
      <w:bCs/>
      <w:sz w:val="24"/>
      <w:szCs w:val="28"/>
    </w:rPr>
  </w:style>
  <w:style w:type="character" w:customStyle="1" w:styleId="Nagwek2Znak">
    <w:name w:val="Nagłówek 2 Znak"/>
    <w:basedOn w:val="Domylnaczcionkaakapitu"/>
    <w:link w:val="Nagwek2"/>
    <w:uiPriority w:val="9"/>
    <w:rsid w:val="00A915D3"/>
    <w:rPr>
      <w:rFonts w:asciiTheme="minorHAnsi" w:eastAsiaTheme="majorEastAsia" w:hAnsiTheme="minorHAnsi" w:cstheme="majorBidi"/>
      <w:bCs/>
      <w:szCs w:val="26"/>
    </w:rPr>
  </w:style>
  <w:style w:type="character" w:styleId="Hipercze">
    <w:name w:val="Hyperlink"/>
    <w:uiPriority w:val="99"/>
    <w:rsid w:val="003F25AD"/>
    <w:rPr>
      <w:color w:val="0000FF"/>
      <w:u w:val="single"/>
    </w:rPr>
  </w:style>
  <w:style w:type="paragraph" w:styleId="Spistreci1">
    <w:name w:val="toc 1"/>
    <w:basedOn w:val="Normalny"/>
    <w:next w:val="Normalny"/>
    <w:autoRedefine/>
    <w:uiPriority w:val="39"/>
    <w:rsid w:val="00415171"/>
    <w:pPr>
      <w:tabs>
        <w:tab w:val="left" w:pos="284"/>
        <w:tab w:val="right" w:leader="dot" w:pos="9089"/>
      </w:tabs>
      <w:spacing w:after="120"/>
      <w:ind w:firstLine="0"/>
      <w:jc w:val="both"/>
    </w:pPr>
    <w:rPr>
      <w:rFonts w:eastAsia="Times New Roman"/>
      <w:b/>
      <w:bCs/>
      <w:caps/>
      <w:szCs w:val="24"/>
    </w:rPr>
  </w:style>
  <w:style w:type="paragraph" w:styleId="Spistreci2">
    <w:name w:val="toc 2"/>
    <w:basedOn w:val="Normalny"/>
    <w:next w:val="Normalny"/>
    <w:autoRedefine/>
    <w:uiPriority w:val="39"/>
    <w:rsid w:val="00415171"/>
    <w:pPr>
      <w:tabs>
        <w:tab w:val="left" w:pos="960"/>
        <w:tab w:val="right" w:leader="dot" w:pos="9072"/>
      </w:tabs>
      <w:ind w:firstLine="0"/>
      <w:jc w:val="both"/>
    </w:pPr>
    <w:rPr>
      <w:rFonts w:eastAsia="Times New Roman"/>
      <w:smallCaps/>
      <w:noProof/>
      <w:szCs w:val="20"/>
    </w:rPr>
  </w:style>
  <w:style w:type="paragraph" w:styleId="Akapitzlist">
    <w:name w:val="List Paragraph"/>
    <w:basedOn w:val="Normalny"/>
    <w:uiPriority w:val="34"/>
    <w:qFormat/>
    <w:rsid w:val="00DE4566"/>
    <w:pPr>
      <w:ind w:left="720"/>
      <w:contextualSpacing/>
    </w:pPr>
  </w:style>
  <w:style w:type="paragraph" w:styleId="Nagwek">
    <w:name w:val="header"/>
    <w:basedOn w:val="Normalny"/>
    <w:link w:val="NagwekZnak"/>
    <w:uiPriority w:val="99"/>
    <w:unhideWhenUsed/>
    <w:rsid w:val="006202D5"/>
    <w:pPr>
      <w:tabs>
        <w:tab w:val="center" w:pos="4536"/>
        <w:tab w:val="right" w:pos="9072"/>
      </w:tabs>
      <w:spacing w:before="0"/>
    </w:pPr>
  </w:style>
  <w:style w:type="character" w:customStyle="1" w:styleId="NagwekZnak">
    <w:name w:val="Nagłówek Znak"/>
    <w:basedOn w:val="Domylnaczcionkaakapitu"/>
    <w:link w:val="Nagwek"/>
    <w:uiPriority w:val="99"/>
    <w:rsid w:val="006202D5"/>
    <w:rPr>
      <w:rFonts w:asciiTheme="minorHAnsi" w:hAnsiTheme="minorHAnsi"/>
      <w:sz w:val="20"/>
    </w:rPr>
  </w:style>
  <w:style w:type="paragraph" w:styleId="Stopka">
    <w:name w:val="footer"/>
    <w:basedOn w:val="Normalny"/>
    <w:link w:val="StopkaZnak"/>
    <w:uiPriority w:val="99"/>
    <w:unhideWhenUsed/>
    <w:rsid w:val="006202D5"/>
    <w:pPr>
      <w:tabs>
        <w:tab w:val="center" w:pos="4536"/>
        <w:tab w:val="right" w:pos="9072"/>
      </w:tabs>
      <w:spacing w:before="0"/>
    </w:pPr>
  </w:style>
  <w:style w:type="character" w:customStyle="1" w:styleId="StopkaZnak">
    <w:name w:val="Stopka Znak"/>
    <w:basedOn w:val="Domylnaczcionkaakapitu"/>
    <w:link w:val="Stopka"/>
    <w:uiPriority w:val="99"/>
    <w:rsid w:val="006202D5"/>
    <w:rPr>
      <w:rFonts w:asciiTheme="minorHAnsi" w:hAnsiTheme="minorHAnsi"/>
      <w:sz w:val="20"/>
    </w:rPr>
  </w:style>
  <w:style w:type="paragraph" w:styleId="Bezodstpw">
    <w:name w:val="No Spacing"/>
    <w:qFormat/>
    <w:rsid w:val="003A70A7"/>
    <w:pPr>
      <w:suppressAutoHyphens/>
    </w:pPr>
    <w:rPr>
      <w:rFonts w:ascii="Calibri" w:eastAsia="Calibri" w:hAnsi="Calibri" w:cs="Calibri"/>
      <w:lang w:eastAsia="ar-SA"/>
    </w:rPr>
  </w:style>
  <w:style w:type="paragraph" w:customStyle="1" w:styleId="Zawartotabeli">
    <w:name w:val="Zawartość tabeli"/>
    <w:basedOn w:val="Normalny"/>
    <w:rsid w:val="00662A06"/>
    <w:pPr>
      <w:suppressLineNumbers/>
      <w:suppressAutoHyphens/>
      <w:spacing w:before="0"/>
      <w:ind w:firstLine="0"/>
    </w:pPr>
    <w:rPr>
      <w:rFonts w:ascii="Times New Roman" w:eastAsia="Times New Roman" w:hAnsi="Times New Roman"/>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sz w:val="22"/>
        <w:szCs w:val="22"/>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15EBC"/>
    <w:pPr>
      <w:spacing w:before="120"/>
      <w:ind w:firstLine="284"/>
    </w:pPr>
    <w:rPr>
      <w:rFonts w:asciiTheme="minorHAnsi" w:hAnsiTheme="minorHAnsi"/>
      <w:sz w:val="20"/>
    </w:rPr>
  </w:style>
  <w:style w:type="paragraph" w:styleId="Nagwek1">
    <w:name w:val="heading 1"/>
    <w:basedOn w:val="Normalny"/>
    <w:next w:val="Normalny"/>
    <w:link w:val="Nagwek1Znak"/>
    <w:autoRedefine/>
    <w:uiPriority w:val="9"/>
    <w:qFormat/>
    <w:rsid w:val="000D6E8E"/>
    <w:pPr>
      <w:keepNext/>
      <w:keepLines/>
      <w:numPr>
        <w:numId w:val="27"/>
      </w:numPr>
      <w:spacing w:before="480"/>
      <w:outlineLvl w:val="0"/>
    </w:pPr>
    <w:rPr>
      <w:rFonts w:eastAsia="Arial" w:cstheme="majorBidi"/>
      <w:b/>
      <w:bCs/>
      <w:sz w:val="24"/>
      <w:szCs w:val="28"/>
    </w:rPr>
  </w:style>
  <w:style w:type="paragraph" w:styleId="Nagwek2">
    <w:name w:val="heading 2"/>
    <w:basedOn w:val="Normalny"/>
    <w:next w:val="Normalny"/>
    <w:link w:val="Nagwek2Znak"/>
    <w:uiPriority w:val="9"/>
    <w:unhideWhenUsed/>
    <w:qFormat/>
    <w:rsid w:val="00A915D3"/>
    <w:pPr>
      <w:keepNext/>
      <w:keepLines/>
      <w:spacing w:before="200"/>
      <w:outlineLvl w:val="1"/>
    </w:pPr>
    <w:rPr>
      <w:rFonts w:eastAsiaTheme="majorEastAsia" w:cstheme="majorBidi"/>
      <w:bCs/>
      <w:sz w:val="22"/>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0D6E8E"/>
    <w:rPr>
      <w:rFonts w:asciiTheme="minorHAnsi" w:eastAsia="Arial" w:hAnsiTheme="minorHAnsi" w:cstheme="majorBidi"/>
      <w:b/>
      <w:bCs/>
      <w:sz w:val="24"/>
      <w:szCs w:val="28"/>
    </w:rPr>
  </w:style>
  <w:style w:type="character" w:customStyle="1" w:styleId="Nagwek2Znak">
    <w:name w:val="Nagłówek 2 Znak"/>
    <w:basedOn w:val="Domylnaczcionkaakapitu"/>
    <w:link w:val="Nagwek2"/>
    <w:uiPriority w:val="9"/>
    <w:rsid w:val="00A915D3"/>
    <w:rPr>
      <w:rFonts w:asciiTheme="minorHAnsi" w:eastAsiaTheme="majorEastAsia" w:hAnsiTheme="minorHAnsi" w:cstheme="majorBidi"/>
      <w:bCs/>
      <w:szCs w:val="26"/>
    </w:rPr>
  </w:style>
  <w:style w:type="character" w:styleId="Hipercze">
    <w:name w:val="Hyperlink"/>
    <w:uiPriority w:val="99"/>
    <w:rsid w:val="003F25AD"/>
    <w:rPr>
      <w:color w:val="0000FF"/>
      <w:u w:val="single"/>
    </w:rPr>
  </w:style>
  <w:style w:type="paragraph" w:styleId="Spistreci1">
    <w:name w:val="toc 1"/>
    <w:basedOn w:val="Normalny"/>
    <w:next w:val="Normalny"/>
    <w:autoRedefine/>
    <w:uiPriority w:val="39"/>
    <w:rsid w:val="00415171"/>
    <w:pPr>
      <w:tabs>
        <w:tab w:val="left" w:pos="284"/>
        <w:tab w:val="right" w:leader="dot" w:pos="9089"/>
      </w:tabs>
      <w:spacing w:after="120"/>
      <w:ind w:firstLine="0"/>
      <w:jc w:val="both"/>
    </w:pPr>
    <w:rPr>
      <w:rFonts w:eastAsia="Times New Roman"/>
      <w:b/>
      <w:bCs/>
      <w:caps/>
      <w:szCs w:val="24"/>
    </w:rPr>
  </w:style>
  <w:style w:type="paragraph" w:styleId="Spistreci2">
    <w:name w:val="toc 2"/>
    <w:basedOn w:val="Normalny"/>
    <w:next w:val="Normalny"/>
    <w:autoRedefine/>
    <w:uiPriority w:val="39"/>
    <w:rsid w:val="00415171"/>
    <w:pPr>
      <w:tabs>
        <w:tab w:val="left" w:pos="960"/>
        <w:tab w:val="right" w:leader="dot" w:pos="9072"/>
      </w:tabs>
      <w:ind w:firstLine="0"/>
      <w:jc w:val="both"/>
    </w:pPr>
    <w:rPr>
      <w:rFonts w:eastAsia="Times New Roman"/>
      <w:smallCaps/>
      <w:noProof/>
      <w:szCs w:val="20"/>
    </w:rPr>
  </w:style>
  <w:style w:type="paragraph" w:styleId="Akapitzlist">
    <w:name w:val="List Paragraph"/>
    <w:basedOn w:val="Normalny"/>
    <w:uiPriority w:val="34"/>
    <w:qFormat/>
    <w:rsid w:val="00DE4566"/>
    <w:pPr>
      <w:ind w:left="720"/>
      <w:contextualSpacing/>
    </w:pPr>
  </w:style>
  <w:style w:type="paragraph" w:styleId="Nagwek">
    <w:name w:val="header"/>
    <w:basedOn w:val="Normalny"/>
    <w:link w:val="NagwekZnak"/>
    <w:uiPriority w:val="99"/>
    <w:unhideWhenUsed/>
    <w:rsid w:val="006202D5"/>
    <w:pPr>
      <w:tabs>
        <w:tab w:val="center" w:pos="4536"/>
        <w:tab w:val="right" w:pos="9072"/>
      </w:tabs>
      <w:spacing w:before="0"/>
    </w:pPr>
  </w:style>
  <w:style w:type="character" w:customStyle="1" w:styleId="NagwekZnak">
    <w:name w:val="Nagłówek Znak"/>
    <w:basedOn w:val="Domylnaczcionkaakapitu"/>
    <w:link w:val="Nagwek"/>
    <w:uiPriority w:val="99"/>
    <w:rsid w:val="006202D5"/>
    <w:rPr>
      <w:rFonts w:asciiTheme="minorHAnsi" w:hAnsiTheme="minorHAnsi"/>
      <w:sz w:val="20"/>
    </w:rPr>
  </w:style>
  <w:style w:type="paragraph" w:styleId="Stopka">
    <w:name w:val="footer"/>
    <w:basedOn w:val="Normalny"/>
    <w:link w:val="StopkaZnak"/>
    <w:uiPriority w:val="99"/>
    <w:unhideWhenUsed/>
    <w:rsid w:val="006202D5"/>
    <w:pPr>
      <w:tabs>
        <w:tab w:val="center" w:pos="4536"/>
        <w:tab w:val="right" w:pos="9072"/>
      </w:tabs>
      <w:spacing w:before="0"/>
    </w:pPr>
  </w:style>
  <w:style w:type="character" w:customStyle="1" w:styleId="StopkaZnak">
    <w:name w:val="Stopka Znak"/>
    <w:basedOn w:val="Domylnaczcionkaakapitu"/>
    <w:link w:val="Stopka"/>
    <w:uiPriority w:val="99"/>
    <w:rsid w:val="006202D5"/>
    <w:rPr>
      <w:rFonts w:asciiTheme="minorHAnsi" w:hAnsiTheme="minorHAnsi"/>
      <w:sz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3A38A-74E2-465B-BE3D-FBBA8AF02C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15</Pages>
  <Words>5634</Words>
  <Characters>33806</Characters>
  <Application>Microsoft Office Word</Application>
  <DocSecurity>0</DocSecurity>
  <Lines>281</Lines>
  <Paragraphs>78</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39362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aaa</cp:lastModifiedBy>
  <cp:revision>11</cp:revision>
  <cp:lastPrinted>2017-11-15T19:42:00Z</cp:lastPrinted>
  <dcterms:created xsi:type="dcterms:W3CDTF">2017-11-14T19:30:00Z</dcterms:created>
  <dcterms:modified xsi:type="dcterms:W3CDTF">2017-11-15T19:51:00Z</dcterms:modified>
</cp:coreProperties>
</file>